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Guía para constituir el Laboratorio</w:t>
      </w:r>
    </w:p>
    <w:p>
      <w:pPr>
        <w:pStyle w:val="Subtitle"/>
      </w:pPr>
      <w:r>
        <w:t xml:space="preserve">Red de Laboratorios de Innovación judicial · versión 1.1 · octubre de 2026</w:t>
      </w:r>
    </w:p>
    <w:bookmarkStart w:id="9" w:name="cómo-usar-esta-guía"/>
    <w:p>
      <w:pPr>
        <w:pStyle w:val="Heading1"/>
      </w:pPr>
      <w:r>
        <w:t xml:space="preserve">Cómo usar esta guía</w:t>
      </w:r>
    </w:p>
    <w:p>
      <w:pPr>
        <w:pStyle w:val="FirstParagraph"/>
      </w:pPr>
      <w:r>
        <w:t xml:space="preserve">Esta guía acompaña a cada Laboratorio en su constitución: qué tiene que existir para que el Laboratorio funcione, cómo</w:t>
      </w:r>
      <w:r>
        <w:t xml:space="preserve"> </w:t>
      </w:r>
      <w:r>
        <w:t xml:space="preserve">empezar y cómo saber que vamos bien. Tiene</w:t>
      </w:r>
      <w:r>
        <w:t xml:space="preserve"> </w:t>
      </w:r>
      <w:r>
        <w:rPr>
          <w:b/>
          <w:bCs/>
        </w:rPr>
        <w:t xml:space="preserve">diez componentes</w:t>
      </w:r>
      <w:r>
        <w:t xml:space="preserve">, los mismos que mide la</w:t>
      </w:r>
      <w:r>
        <w:t xml:space="preserve"> </w:t>
      </w:r>
      <w:r>
        <w:rPr>
          <w:b/>
          <w:bCs/>
        </w:rPr>
        <w:t xml:space="preserve">autoevaluación A (el</w:t>
      </w:r>
      <w:r>
        <w:rPr>
          <w:b/>
          <w:bCs/>
        </w:rPr>
        <w:t xml:space="preserve"> </w:t>
      </w:r>
      <w:r>
        <w:rPr>
          <w:b/>
          <w:bCs/>
        </w:rPr>
        <w:t xml:space="preserve">Laboratorio)</w:t>
      </w:r>
      <w:r>
        <w:t xml:space="preserve">. Así, el resultado de la autoevaluación dice por dónde empezar y esta guía dice cómo.</w:t>
      </w:r>
    </w:p>
    <w:p>
      <w:pPr>
        <w:pStyle w:val="BodyText"/>
      </w:pPr>
      <w:r>
        <w:t xml:space="preserve">No reemplaza lo que ya trabajamos en el encuentro del 15 y 16 de octubre: lo ordena. La</w:t>
      </w:r>
      <w:r>
        <w:t xml:space="preserve"> </w:t>
      </w:r>
      <w:r>
        <w:rPr>
          <w:b/>
          <w:bCs/>
        </w:rPr>
        <w:t xml:space="preserve">Guía Práctica de Innovación</w:t>
      </w:r>
      <w:r>
        <w:t xml:space="preserve"> </w:t>
      </w:r>
      <w:r>
        <w:t xml:space="preserve">(7 pasos en 3 fases), co-construida el 16 de octubre, es la base metodológica común; la convocatoria es la puerta de</w:t>
      </w:r>
      <w:r>
        <w:t xml:space="preserve"> </w:t>
      </w:r>
      <w:r>
        <w:t xml:space="preserve">entrada; esta guía describe la casa donde todo eso ocurre.</w:t>
      </w:r>
    </w:p>
    <w:p>
      <w:pPr>
        <w:pStyle w:val="BodyText"/>
      </w:pPr>
      <w:r>
        <w:t xml:space="preserve">Cada componente tiene la misma estructura:</w:t>
      </w:r>
      <w:r>
        <w:t xml:space="preserve"> </w:t>
      </w:r>
      <w:r>
        <w:rPr>
          <w:b/>
          <w:bCs/>
        </w:rPr>
        <w:t xml:space="preserve">qué es</w:t>
      </w:r>
      <w:r>
        <w:t xml:space="preserve">,</w:t>
      </w:r>
      <w:r>
        <w:t xml:space="preserve"> </w:t>
      </w:r>
      <w:r>
        <w:rPr>
          <w:b/>
          <w:bCs/>
        </w:rPr>
        <w:t xml:space="preserve">por qué importa</w:t>
      </w:r>
      <w:r>
        <w:t xml:space="preserve">,</w:t>
      </w:r>
      <w:r>
        <w:t xml:space="preserve"> </w:t>
      </w:r>
      <w:r>
        <w:rPr>
          <w:b/>
          <w:bCs/>
        </w:rPr>
        <w:t xml:space="preserve">cómo empezar</w:t>
      </w:r>
      <w:r>
        <w:t xml:space="preserve"> </w:t>
      </w:r>
      <w:r>
        <w:t xml:space="preserve">(tres acciones),</w:t>
      </w:r>
      <w:r>
        <w:t xml:space="preserve"> </w:t>
      </w:r>
      <w:r>
        <w:rPr>
          <w:b/>
          <w:bCs/>
        </w:rPr>
        <w:t xml:space="preserve">señal de que está logrado</w:t>
      </w:r>
      <w:r>
        <w:t xml:space="preserve"> </w:t>
      </w:r>
      <w:r>
        <w:t xml:space="preserve">(el nivel «Establecido» de la autoevaluación, citado textual) y</w:t>
      </w:r>
      <w:r>
        <w:t xml:space="preserve"> </w:t>
      </w:r>
      <w:r>
        <w:rPr>
          <w:b/>
          <w:bCs/>
        </w:rPr>
        <w:t xml:space="preserve">material</w:t>
      </w:r>
      <w:r>
        <w:rPr>
          <w:b/>
          <w:bCs/>
        </w:rPr>
        <w:t xml:space="preserve"> </w:t>
      </w:r>
      <w:r>
        <w:rPr>
          <w:b/>
          <w:bCs/>
        </w:rPr>
        <w:t xml:space="preserve">relacionado</w:t>
      </w:r>
      <w:r>
        <w:t xml:space="preserve">.</w:t>
      </w:r>
    </w:p>
    <w:p>
      <w:pPr>
        <w:pStyle w:val="BodyText"/>
      </w:pPr>
      <w:r>
        <w:t xml:space="preserve">La versión 1.1 revisa la 1.0 contra los marcos vigentes a octubre de 2026 (OCDE, UNESCO, Cumbre Judicial</w:t>
      </w:r>
      <w:r>
        <w:t xml:space="preserve"> </w:t>
      </w:r>
      <w:r>
        <w:t xml:space="preserve">Iberoamericana, CEPEJ, CEJA y el Consejo Nacional de Justicia de Brasil). Suma dos componentes —personas justiciables y</w:t>
      </w:r>
      <w:r>
        <w:t xml:space="preserve"> </w:t>
      </w:r>
      <w:r>
        <w:t xml:space="preserve">necesidades legales; datos, IA e independencia judicial— y lleva la medición a resultados para las personas y</w:t>
      </w:r>
      <w:r>
        <w:t xml:space="preserve"> </w:t>
      </w:r>
      <w:r>
        <w:t xml:space="preserve">escalamiento.</w:t>
      </w:r>
    </w:p>
    <w:bookmarkEnd w:id="9"/>
    <w:bookmarkStart w:id="12" w:name="para-qué-un-laboratorio"/>
    <w:p>
      <w:pPr>
        <w:pStyle w:val="Heading1"/>
      </w:pPr>
      <w:r>
        <w:t xml:space="preserve">1. Para qué un Laboratorio</w:t>
      </w:r>
    </w:p>
    <w:p>
      <w:pPr>
        <w:pStyle w:val="BlockText"/>
      </w:pPr>
      <w:r>
        <w:t xml:space="preserve">«Cada laboratorio debe ser un espacio para identificar los talentos de su jurisdicción y ponerlos en movimiento,</w:t>
      </w:r>
      <w:r>
        <w:t xml:space="preserve"> </w:t>
      </w:r>
      <w:r>
        <w:t xml:space="preserve">compartiendo conocimientos y colaborando con los demás equipos.»</w:t>
      </w:r>
    </w:p>
    <w:p>
      <w:pPr>
        <w:pStyle w:val="FirstParagraph"/>
      </w:pPr>
      <w:r>
        <w:t xml:space="preserve">En cada jurisdicción hay personas con ganas de resolver problemas que ven todos los días. Muchas ya tienen una idea, y</w:t>
      </w:r>
      <w:r>
        <w:t xml:space="preserve"> </w:t>
      </w:r>
      <w:r>
        <w:t xml:space="preserve">algunas ya la probaron por su cuenta. Lo que les falta es un camino: método, respaldo, tiempo y alguien con quien</w:t>
      </w:r>
      <w:r>
        <w:t xml:space="preserve"> </w:t>
      </w:r>
      <w:r>
        <w:t xml:space="preserve">llevarla a escala.</w:t>
      </w:r>
    </w:p>
    <w:p>
      <w:pPr>
        <w:pStyle w:val="BodyText"/>
      </w:pPr>
      <w:r>
        <w:rPr>
          <w:b/>
          <w:bCs/>
        </w:rPr>
        <w:t xml:space="preserve">Un ejemplo argentino.</w:t>
      </w:r>
      <w:r>
        <w:t xml:space="preserve"> </w:t>
      </w:r>
      <w:r>
        <w:t xml:space="preserve">«Vínculos» nació de una jueza de Familia, María Laura Lucchini Minuzzi (Juzgado de Familia</w:t>
      </w:r>
      <w:r>
        <w:t xml:space="preserve"> </w:t>
      </w:r>
      <w:r>
        <w:t xml:space="preserve">Nº 9, Departamento Judicial de Morón), que veía todos los días a padres separados comunicarse con agresiones, con los</w:t>
      </w:r>
      <w:r>
        <w:t xml:space="preserve"> </w:t>
      </w:r>
      <w:r>
        <w:t xml:space="preserve">hijos en el medio. Lo prototipó por su cuenta: una mensajería en la que la inteligencia artificial sugiere reformular</w:t>
      </w:r>
      <w:r>
        <w:t xml:space="preserve"> </w:t>
      </w:r>
      <w:r>
        <w:t xml:space="preserve">un mensaje agresivo antes de enviarlo, con gastos compartidos y un registro disponible para el juzgado. Para escalarlo</w:t>
      </w:r>
      <w:r>
        <w:t xml:space="preserve"> </w:t>
      </w:r>
      <w:r>
        <w:t xml:space="preserve">necesitó apoyo técnico. Se presentó en julio de 2026. La pregunta para cada Laboratorio es:</w:t>
      </w:r>
      <w:r>
        <w:t xml:space="preserve"> </w:t>
      </w:r>
      <w:r>
        <w:rPr>
          <w:b/>
          <w:bCs/>
        </w:rPr>
        <w:t xml:space="preserve">¿cuántas personas así</w:t>
      </w:r>
      <w:r>
        <w:rPr>
          <w:b/>
          <w:bCs/>
        </w:rPr>
        <w:t xml:space="preserve"> </w:t>
      </w:r>
      <w:r>
        <w:rPr>
          <w:b/>
          <w:bCs/>
        </w:rPr>
        <w:t xml:space="preserve">hay en nuestra jurisdicción, y quién les ofrece el camino?</w:t>
      </w:r>
    </w:p>
    <w:bookmarkStart w:id="10" w:name="el-deber-ser-cambios-probados-no-ideas"/>
    <w:p>
      <w:pPr>
        <w:pStyle w:val="Heading2"/>
      </w:pPr>
      <w:r>
        <w:t xml:space="preserve">El deber ser: cambios probados, no ideas</w:t>
      </w:r>
    </w:p>
    <w:p>
      <w:pPr>
        <w:pStyle w:val="FirstParagraph"/>
      </w:pPr>
      <w:r>
        <w:t xml:space="preserve">Un Laboratorio no produce ideas:</w:t>
      </w:r>
      <w:r>
        <w:t xml:space="preserve"> </w:t>
      </w:r>
      <w:r>
        <w:rPr>
          <w:b/>
          <w:bCs/>
        </w:rPr>
        <w:t xml:space="preserve">produce cambios probados</w:t>
      </w:r>
      <w:r>
        <w:t xml:space="preserve"> </w:t>
      </w:r>
      <w:r>
        <w:t xml:space="preserve">para quienes acuden a la justicia. Servicios más</w:t>
      </w:r>
      <w:r>
        <w:t xml:space="preserve"> </w:t>
      </w:r>
      <w:r>
        <w:t xml:space="preserve">simples, accesibles y oportunos; lo demás es medio. Para eso genera cuatro cosas: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 canal abierto de ideas</w:t>
      </w:r>
      <w:r>
        <w:t xml:space="preserve">: cualquiera, de cualquier cargo o de afuera, puede proponer un problema y recibe</w:t>
      </w:r>
      <w:r>
        <w:t xml:space="preserve"> </w:t>
      </w:r>
      <w:r>
        <w:t xml:space="preserve">respuesta.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Soluciones probadas con las personas</w:t>
      </w:r>
      <w:r>
        <w:t xml:space="preserve">: pilotos con evidencia, no proyectos de escritorio. Lo que funciona se</w:t>
      </w:r>
      <w:r>
        <w:t xml:space="preserve"> </w:t>
      </w:r>
      <w:r>
        <w:t xml:space="preserve">sostiene; lo que no, se cierra a tiempo.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Evidencia y medición</w:t>
      </w:r>
      <w:r>
        <w:t xml:space="preserve">: qué cambió para las personas, y qué se adoptó o transfirió.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Capacidades y cultura</w:t>
      </w:r>
      <w:r>
        <w:t xml:space="preserve">: personas que saben innovar con método y equipos que se arman por misión, no por cargo.</w:t>
      </w:r>
    </w:p>
    <w:bookmarkEnd w:id="10"/>
    <w:bookmarkStart w:id="11" w:name="Xd342704e50f4889db1297dd8c7d6f40f0fbfa33"/>
    <w:p>
      <w:pPr>
        <w:pStyle w:val="Heading2"/>
      </w:pPr>
      <w:r>
        <w:t xml:space="preserve">El modelo ambidextro: un satélite conectado al núcleo</w:t>
      </w:r>
    </w:p>
    <w:p>
      <w:pPr>
        <w:pStyle w:val="FirstParagraph"/>
      </w:pPr>
      <w:r>
        <w:t xml:space="preserve">La «Guía práctica para la innovación» (V5) propone dividir la organización en dos brazos: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El brazo que opera</w:t>
      </w:r>
      <w:r>
        <w:t xml:space="preserve"> </w:t>
      </w:r>
      <w:r>
        <w:t xml:space="preserve">(explotación): el día a día, los plazos procesales, el cumplimiento de la norma. Tiene que</w:t>
      </w:r>
      <w:r>
        <w:t xml:space="preserve"> </w:t>
      </w:r>
      <w:r>
        <w:t xml:space="preserve">ser previsible.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El brazo que explora</w:t>
      </w:r>
      <w:r>
        <w:t xml:space="preserve"> </w:t>
      </w:r>
      <w:r>
        <w:t xml:space="preserve">(el Laboratorio): prueba, mide y aprende con las personas, sin poner en riesgo la</w:t>
      </w:r>
      <w:r>
        <w:t xml:space="preserve"> </w:t>
      </w:r>
      <w:r>
        <w:t xml:space="preserve">operación diaria. Tiene permiso para equivocarse en pequeño.</w:t>
      </w:r>
    </w:p>
    <w:p>
      <w:pPr>
        <w:pStyle w:val="FirstParagraph"/>
      </w:pPr>
      <w:r>
        <w:t xml:space="preserve">El Laboratorio funciona como un</w:t>
      </w:r>
      <w:r>
        <w:t xml:space="preserve"> </w:t>
      </w:r>
      <w:r>
        <w:rPr>
          <w:b/>
          <w:bCs/>
        </w:rPr>
        <w:t xml:space="preserve">satélite con reglas propias, pero conectado al núcleo</w:t>
      </w:r>
      <w:r>
        <w:t xml:space="preserve">: si no se conecta, lo que</w:t>
      </w:r>
      <w:r>
        <w:t xml:space="preserve"> </w:t>
      </w:r>
      <w:r>
        <w:t xml:space="preserve">aprende no llega a ningún expediente. Por eso «constituir» no es solo crear un área: es crear las conexiones.</w:t>
      </w:r>
    </w:p>
    <w:bookmarkEnd w:id="11"/>
    <w:bookmarkEnd w:id="12"/>
    <w:bookmarkStart w:id="23" w:name="los-diez-componentes"/>
    <w:p>
      <w:pPr>
        <w:pStyle w:val="Heading1"/>
      </w:pPr>
      <w:r>
        <w:t xml:space="preserve">2. Los diez componentes</w:t>
      </w:r>
    </w:p>
    <w:bookmarkStart w:id="13" w:name="propósito-y-mandato"/>
    <w:p>
      <w:pPr>
        <w:pStyle w:val="Heading2"/>
      </w:pPr>
      <w:r>
        <w:t xml:space="preserve">2.1 Propósito y mandato</w:t>
      </w:r>
    </w:p>
    <w:p>
      <w:pPr>
        <w:pStyle w:val="FirstParagraph"/>
      </w:pPr>
      <w:r>
        <w:rPr>
          <w:b/>
          <w:bCs/>
        </w:rPr>
        <w:t xml:space="preserve">Qué es.</w:t>
      </w:r>
      <w:r>
        <w:t xml:space="preserve"> </w:t>
      </w:r>
      <w:r>
        <w:t xml:space="preserve">El acto formal que crea el Laboratorio (acordada o resolución) y un propósito escrito que dice qué</w:t>
      </w:r>
      <w:r>
        <w:t xml:space="preserve"> </w:t>
      </w:r>
      <w:r>
        <w:t xml:space="preserve">cambios busca y para quién. Es lo que permite decir que sí a unas cosas y que no a otras.</w:t>
      </w:r>
    </w:p>
    <w:p>
      <w:pPr>
        <w:pStyle w:val="BodyText"/>
      </w:pPr>
      <w:r>
        <w:rPr>
          <w:b/>
          <w:bCs/>
        </w:rPr>
        <w:t xml:space="preserve">Por qué importa.</w:t>
      </w:r>
      <w:r>
        <w:t xml:space="preserve"> </w:t>
      </w:r>
      <w:r>
        <w:t xml:space="preserve">Sin mandato, el Laboratorio depende de la voluntad de algunas personas y se apaga cuando ellas</w:t>
      </w:r>
      <w:r>
        <w:t xml:space="preserve"> </w:t>
      </w:r>
      <w:r>
        <w:t xml:space="preserve">cambian de lugar. Hay referencias cercanas: el Laboratorio de Innovación Judicial de Mendoza fue creado por la</w:t>
      </w:r>
      <w:r>
        <w:t xml:space="preserve"> </w:t>
      </w:r>
      <w:r>
        <w:t xml:space="preserve">Acordada 31420; en Brasil, la Resolución CNJ 395/2021 obliga a los tribunales a crear laboratorios de innovación y crea</w:t>
      </w:r>
      <w:r>
        <w:t xml:space="preserve"> </w:t>
      </w:r>
      <w:r>
        <w:t xml:space="preserve">la red RenovaJud, con un encuentro anual. El acto da existencia; el propósito da dirección, y tiene que nombrar a las</w:t>
      </w:r>
      <w:r>
        <w:t xml:space="preserve"> </w:t>
      </w:r>
      <w:r>
        <w:t xml:space="preserve">personas destinatarias.</w:t>
      </w:r>
    </w:p>
    <w:p>
      <w:pPr>
        <w:pStyle w:val="BodyText"/>
      </w:pPr>
      <w:r>
        <w:rPr>
          <w:b/>
          <w:bCs/>
        </w:rPr>
        <w:t xml:space="preserve">Cómo empezar.</w:t>
      </w:r>
    </w:p>
    <w:p>
      <w:pPr>
        <w:pStyle w:val="Compact"/>
        <w:numPr>
          <w:ilvl w:val="0"/>
          <w:numId w:val="1003"/>
        </w:numPr>
      </w:pPr>
      <w:r>
        <w:t xml:space="preserve">Reunir lo que ya existe: acto de creación, resoluciones, notas. Si no hay acto, redactar el borrador.</w:t>
      </w:r>
    </w:p>
    <w:p>
      <w:pPr>
        <w:pStyle w:val="Compact"/>
        <w:numPr>
          <w:ilvl w:val="0"/>
          <w:numId w:val="1003"/>
        </w:numPr>
      </w:pPr>
      <w:r>
        <w:t xml:space="preserve">Escribir el propósito en una frase: «Existimos para que [quiénes] puedan [qué resultado], probando soluciones con</w:t>
      </w:r>
      <w:r>
        <w:t xml:space="preserve"> </w:t>
      </w:r>
      <w:r>
        <w:t xml:space="preserve">ellas antes de escalarlas».</w:t>
      </w:r>
    </w:p>
    <w:p>
      <w:pPr>
        <w:pStyle w:val="Compact"/>
        <w:numPr>
          <w:ilvl w:val="0"/>
          <w:numId w:val="1003"/>
        </w:numPr>
      </w:pPr>
      <w:r>
        <w:t xml:space="preserve">Presentarlo a la conducción junto con la decisión «a elevar» del encuentro y acordar cuándo se revisa.</w:t>
      </w:r>
    </w:p>
    <w:p>
      <w:pPr>
        <w:pStyle w:val="FirstParagraph"/>
      </w:pPr>
      <w:r>
        <w:rPr>
          <w:b/>
          <w:bCs/>
        </w:rPr>
        <w:t xml:space="preserve">Señal de que está logrado</w:t>
      </w:r>
      <w:r>
        <w:t xml:space="preserve"> </w:t>
      </w:r>
      <w:r>
        <w:t xml:space="preserve">(nivel «Establecido»):</w:t>
      </w:r>
      <w:r>
        <w:t xml:space="preserve"> </w:t>
      </w:r>
      <w:r>
        <w:rPr>
          <w:i/>
          <w:iCs/>
        </w:rPr>
        <w:t xml:space="preserve">«Un propósito escrito nombra a las personas destinatarias y los</w:t>
      </w:r>
      <w:r>
        <w:rPr>
          <w:i/>
          <w:iCs/>
        </w:rPr>
        <w:t xml:space="preserve"> </w:t>
      </w:r>
      <w:r>
        <w:rPr>
          <w:i/>
          <w:iCs/>
        </w:rPr>
        <w:t xml:space="preserve">cambios que busca.»</w:t>
      </w:r>
    </w:p>
    <w:p>
      <w:pPr>
        <w:pStyle w:val="BodyText"/>
      </w:pPr>
      <w:r>
        <w:rPr>
          <w:b/>
          <w:bCs/>
        </w:rPr>
        <w:t xml:space="preserve">Material relacionado.</w:t>
      </w:r>
      <w:r>
        <w:t xml:space="preserve"> </w:t>
      </w:r>
      <w:r>
        <w:t xml:space="preserve">Autodiagnóstico y hoja de ruta de 45 días · Tarjeta de decisión elevada.</w:t>
      </w:r>
    </w:p>
    <w:bookmarkEnd w:id="13"/>
    <w:bookmarkStart w:id="14" w:name="respaldo-y-conexión-con-el-núcleo"/>
    <w:p>
      <w:pPr>
        <w:pStyle w:val="Heading2"/>
      </w:pPr>
      <w:r>
        <w:t xml:space="preserve">2.2 Respaldo y conexión con el núcleo</w:t>
      </w:r>
    </w:p>
    <w:p>
      <w:pPr>
        <w:pStyle w:val="FirstParagraph"/>
      </w:pPr>
      <w:r>
        <w:rPr>
          <w:b/>
          <w:bCs/>
        </w:rPr>
        <w:t xml:space="preserve">Qué es.</w:t>
      </w:r>
      <w:r>
        <w:t xml:space="preserve"> </w:t>
      </w:r>
      <w:r>
        <w:t xml:space="preserve">Quién respalda al Laboratorio por escrito y cuál es el camino para que lo que se prueba con evidencia</w:t>
      </w:r>
      <w:r>
        <w:t xml:space="preserve"> </w:t>
      </w:r>
      <w:r>
        <w:t xml:space="preserve">llegue a los juzgados y oficinas: quién decide qué se prueba, qué se adopta y con qué presupuesto se sostiene.</w:t>
      </w:r>
      <w:r>
        <w:t xml:space="preserve"> </w:t>
      </w:r>
      <w:r>
        <w:t xml:space="preserve">Incluye que la organización</w:t>
      </w:r>
      <w:r>
        <w:t xml:space="preserve"> </w:t>
      </w:r>
      <w:r>
        <w:rPr>
          <w:b/>
          <w:bCs/>
        </w:rPr>
        <w:t xml:space="preserve">sepa que el Laboratorio existe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Por qué importa.</w:t>
      </w:r>
      <w:r>
        <w:t xml:space="preserve"> </w:t>
      </w:r>
      <w:r>
        <w:t xml:space="preserve">La guía V5 lo dice con una imagen: si la cultura es el software, la estructura es el hardware.</w:t>
      </w:r>
      <w:r>
        <w:t xml:space="preserve"> </w:t>
      </w:r>
      <w:r>
        <w:t xml:space="preserve">El paso de la jerarquía a la</w:t>
      </w:r>
      <w:r>
        <w:t xml:space="preserve"> </w:t>
      </w:r>
      <w:r>
        <w:rPr>
          <w:b/>
          <w:bCs/>
        </w:rPr>
        <w:t xml:space="preserve">redarquía</w:t>
      </w:r>
      <w:r>
        <w:t xml:space="preserve"> </w:t>
      </w:r>
      <w:r>
        <w:t xml:space="preserve">requiere</w:t>
      </w:r>
      <w:r>
        <w:t xml:space="preserve"> </w:t>
      </w:r>
      <w:r>
        <w:rPr>
          <w:b/>
          <w:bCs/>
        </w:rPr>
        <w:t xml:space="preserve">nodos de decisión</w:t>
      </w:r>
      <w:r>
        <w:t xml:space="preserve"> </w:t>
      </w:r>
      <w:r>
        <w:t xml:space="preserve">ágiles: si cada idea tiene que subir diez</w:t>
      </w:r>
      <w:r>
        <w:t xml:space="preserve"> </w:t>
      </w:r>
      <w:r>
        <w:t xml:space="preserve">niveles para aprobarse, no se prueba nada. La visibilidad interna también es respaldo: en Brasil, 4 de cada 5</w:t>
      </w:r>
      <w:r>
        <w:t xml:space="preserve"> </w:t>
      </w:r>
      <w:r>
        <w:t xml:space="preserve">servidores y magistrados no conocían el laboratorio de su propio tribunal (CNJ y PNUD, agosto de 2024). Un Laboratorio</w:t>
      </w:r>
      <w:r>
        <w:t xml:space="preserve"> </w:t>
      </w:r>
      <w:r>
        <w:t xml:space="preserve">que nadie conoce no recibe ideas ni adopta soluciones.</w:t>
      </w:r>
    </w:p>
    <w:p>
      <w:pPr>
        <w:pStyle w:val="BodyText"/>
      </w:pPr>
      <w:r>
        <w:rPr>
          <w:b/>
          <w:bCs/>
        </w:rPr>
        <w:t xml:space="preserve">Cómo empezar.</w:t>
      </w:r>
    </w:p>
    <w:p>
      <w:pPr>
        <w:pStyle w:val="Compact"/>
        <w:numPr>
          <w:ilvl w:val="0"/>
          <w:numId w:val="1004"/>
        </w:numPr>
      </w:pPr>
      <w:r>
        <w:t xml:space="preserve">Conseguir el respaldo por escrito de la conducción (en la hoja de ruta del encuentro, día 7).</w:t>
      </w:r>
    </w:p>
    <w:p>
      <w:pPr>
        <w:pStyle w:val="Compact"/>
        <w:numPr>
          <w:ilvl w:val="0"/>
          <w:numId w:val="1004"/>
        </w:numPr>
      </w:pPr>
      <w:r>
        <w:t xml:space="preserve">Definir la instancia que decide qué pilotos se prueban y cuáles se adoptan, con quién la integra y cada cuánto se</w:t>
      </w:r>
      <w:r>
        <w:t xml:space="preserve"> </w:t>
      </w:r>
      <w:r>
        <w:t xml:space="preserve">reúne.</w:t>
      </w:r>
    </w:p>
    <w:p>
      <w:pPr>
        <w:pStyle w:val="Compact"/>
        <w:numPr>
          <w:ilvl w:val="0"/>
          <w:numId w:val="1004"/>
        </w:numPr>
      </w:pPr>
      <w:r>
        <w:t xml:space="preserve">Presentar el Laboratorio en toda la jurisdicción (intranet, reuniones de fuero) y, para cada piloto, nombrar desde</w:t>
      </w:r>
      <w:r>
        <w:t xml:space="preserve"> </w:t>
      </w:r>
      <w:r>
        <w:t xml:space="preserve">el inicio a la persona de la operación diaria que lo va a recibir si funciona.</w:t>
      </w:r>
    </w:p>
    <w:p>
      <w:pPr>
        <w:pStyle w:val="FirstParagraph"/>
      </w:pPr>
      <w:r>
        <w:rPr>
          <w:b/>
          <w:bCs/>
        </w:rPr>
        <w:t xml:space="preserve">Señal de que está logrado:</w:t>
      </w:r>
      <w:r>
        <w:t xml:space="preserve"> </w:t>
      </w:r>
      <w:r>
        <w:rPr>
          <w:i/>
          <w:iCs/>
        </w:rPr>
        <w:t xml:space="preserve">«Una instancia formal decide qué pilotos se prueban y cuáles se adoptan.»</w:t>
      </w:r>
    </w:p>
    <w:p>
      <w:pPr>
        <w:pStyle w:val="BodyText"/>
      </w:pPr>
      <w:r>
        <w:rPr>
          <w:b/>
          <w:bCs/>
        </w:rPr>
        <w:t xml:space="preserve">Material relacionado.</w:t>
      </w:r>
      <w:r>
        <w:t xml:space="preserve"> </w:t>
      </w:r>
      <w:r>
        <w:t xml:space="preserve">Kit de Convocatoria (decisión 7, respaldo institucional) · Guía Práctica de Innovación</w:t>
      </w:r>
      <w:r>
        <w:t xml:space="preserve"> </w:t>
      </w:r>
      <w:r>
        <w:t xml:space="preserve">(paso 6, plan de piloto).</w:t>
      </w:r>
    </w:p>
    <w:bookmarkEnd w:id="14"/>
    <w:bookmarkStart w:id="15" w:name="equipo-dedicación-y-roles"/>
    <w:p>
      <w:pPr>
        <w:pStyle w:val="Heading2"/>
      </w:pPr>
      <w:r>
        <w:t xml:space="preserve">2.3 Equipo, dedicación y roles</w:t>
      </w:r>
    </w:p>
    <w:p>
      <w:pPr>
        <w:pStyle w:val="FirstParagraph"/>
      </w:pPr>
      <w:r>
        <w:rPr>
          <w:b/>
          <w:bCs/>
        </w:rPr>
        <w:t xml:space="preserve">Qué es.</w:t>
      </w:r>
      <w:r>
        <w:t xml:space="preserve"> </w:t>
      </w:r>
      <w:r>
        <w:t xml:space="preserve">Un equipo núcleo con</w:t>
      </w:r>
      <w:r>
        <w:t xml:space="preserve"> </w:t>
      </w:r>
      <w:r>
        <w:rPr>
          <w:b/>
          <w:bCs/>
        </w:rPr>
        <w:t xml:space="preserve">horas protegidas</w:t>
      </w:r>
      <w:r>
        <w:t xml:space="preserve"> </w:t>
      </w:r>
      <w:r>
        <w:t xml:space="preserve">para innovar y roles definidos por la tarea, más equipos por</w:t>
      </w:r>
      <w:r>
        <w:t xml:space="preserve"> </w:t>
      </w:r>
      <w:r>
        <w:t xml:space="preserve">misión que se arman alrededor de cada problema.</w:t>
      </w:r>
    </w:p>
    <w:p>
      <w:pPr>
        <w:pStyle w:val="BodyText"/>
      </w:pPr>
      <w:r>
        <w:rPr>
          <w:b/>
          <w:bCs/>
        </w:rPr>
        <w:t xml:space="preserve">Por qué importa.</w:t>
      </w:r>
      <w:r>
        <w:t xml:space="preserve"> </w:t>
      </w:r>
      <w:r>
        <w:t xml:space="preserve">La guía V5 propone</w:t>
      </w:r>
      <w:r>
        <w:t xml:space="preserve"> </w:t>
      </w:r>
      <w:r>
        <w:rPr>
          <w:b/>
          <w:bCs/>
        </w:rPr>
        <w:t xml:space="preserve">roles en lugar de cargos</w:t>
      </w:r>
      <w:r>
        <w:t xml:space="preserve">: en un equipo de innovación, la autoridad la</w:t>
      </w:r>
      <w:r>
        <w:t xml:space="preserve"> </w:t>
      </w:r>
      <w:r>
        <w:t xml:space="preserve">tiene quien más sabe del problema, no quien tiene el cargo más alto; y</w:t>
      </w:r>
      <w:r>
        <w:t xml:space="preserve"> </w:t>
      </w:r>
      <w:r>
        <w:rPr>
          <w:b/>
          <w:bCs/>
        </w:rPr>
        <w:t xml:space="preserve">equipos multidisciplinarios por misión</w:t>
      </w:r>
      <w:r>
        <w:t xml:space="preserve">, que</w:t>
      </w:r>
      <w:r>
        <w:t xml:space="preserve"> </w:t>
      </w:r>
      <w:r>
        <w:t xml:space="preserve">se disuelven cuando el problema se resuelve. La dedicación es la condición: el «Test, Learn and Grow Playbook» del</w:t>
      </w:r>
      <w:r>
        <w:t xml:space="preserve"> </w:t>
      </w:r>
      <w:r>
        <w:t xml:space="preserve">Reino Unido pide 15 horas o más por semana, porque innovar no puede ser un agregado a un trabajo de tiempo completo. En</w:t>
      </w:r>
      <w:r>
        <w:t xml:space="preserve"> </w:t>
      </w:r>
      <w:r>
        <w:t xml:space="preserve">Brasil, solo el 24 % de los laboratorios judiciales tiene dedicación exclusiva y el 19 % no tiene equipo propio (CNJ y</w:t>
      </w:r>
      <w:r>
        <w:t xml:space="preserve"> </w:t>
      </w:r>
      <w:r>
        <w:t xml:space="preserve">PNUD, septiembre de 2024). Sin horas protegidas, la innovación compite con la urgencia y siempre pierde.</w:t>
      </w:r>
    </w:p>
    <w:p>
      <w:pPr>
        <w:pStyle w:val="BodyText"/>
      </w:pPr>
      <w:r>
        <w:rPr>
          <w:b/>
          <w:bCs/>
        </w:rPr>
        <w:t xml:space="preserve">Cómo empezar.</w:t>
      </w:r>
    </w:p>
    <w:p>
      <w:pPr>
        <w:pStyle w:val="Compact"/>
        <w:numPr>
          <w:ilvl w:val="0"/>
          <w:numId w:val="1005"/>
        </w:numPr>
      </w:pPr>
      <w:r>
        <w:t xml:space="preserve">Nombrar el equipo núcleo y acordar por escrito sus horas semanales protegidas.</w:t>
      </w:r>
    </w:p>
    <w:p>
      <w:pPr>
        <w:pStyle w:val="Compact"/>
        <w:numPr>
          <w:ilvl w:val="0"/>
          <w:numId w:val="1005"/>
        </w:numPr>
      </w:pPr>
      <w:r>
        <w:t xml:space="preserve">Repartir cinco roles, aunque una persona tenga más de uno: coordinación, método, datos, tecnología y comunicación.</w:t>
      </w:r>
    </w:p>
    <w:p>
      <w:pPr>
        <w:pStyle w:val="Compact"/>
        <w:numPr>
          <w:ilvl w:val="0"/>
          <w:numId w:val="1005"/>
        </w:numPr>
      </w:pPr>
      <w:r>
        <w:t xml:space="preserve">Para el primer problema, armar un equipo por misión con personas de distintos fueros y jerarquías.</w:t>
      </w:r>
    </w:p>
    <w:p>
      <w:pPr>
        <w:pStyle w:val="FirstParagraph"/>
      </w:pPr>
      <w:r>
        <w:rPr>
          <w:b/>
          <w:bCs/>
        </w:rPr>
        <w:t xml:space="preserve">Señal de que está logrado:</w:t>
      </w:r>
      <w:r>
        <w:t xml:space="preserve"> </w:t>
      </w:r>
      <w:r>
        <w:rPr>
          <w:i/>
          <w:iCs/>
        </w:rPr>
        <w:t xml:space="preserve">«El equipo núcleo tiene horas semanales protegidas y roles definidos por la tarea.»</w:t>
      </w:r>
    </w:p>
    <w:p>
      <w:pPr>
        <w:pStyle w:val="BodyText"/>
      </w:pPr>
      <w:r>
        <w:rPr>
          <w:b/>
          <w:bCs/>
        </w:rPr>
        <w:t xml:space="preserve">Material relacionado.</w:t>
      </w:r>
      <w:r>
        <w:t xml:space="preserve"> </w:t>
      </w:r>
      <w:r>
        <w:t xml:space="preserve">Kit de Convocatoria (decisión 6, qué se ofrece) · Caja de herramientas de innovación e IA.</w:t>
      </w:r>
    </w:p>
    <w:bookmarkEnd w:id="15"/>
    <w:bookmarkStart w:id="16" w:name="red-de-talentos-de-la-jurisdicción"/>
    <w:p>
      <w:pPr>
        <w:pStyle w:val="Heading2"/>
      </w:pPr>
      <w:r>
        <w:t xml:space="preserve">2.4 Red de talentos de la jurisdicción</w:t>
      </w:r>
    </w:p>
    <w:p>
      <w:pPr>
        <w:pStyle w:val="FirstParagraph"/>
      </w:pPr>
      <w:r>
        <w:rPr>
          <w:b/>
          <w:bCs/>
        </w:rPr>
        <w:t xml:space="preserve">Qué es.</w:t>
      </w:r>
      <w:r>
        <w:t xml:space="preserve"> </w:t>
      </w:r>
      <w:r>
        <w:t xml:space="preserve">Saber quiénes, en la jurisdicción, tienen ganas y capacidad de resolver problemas: qué sabe hacer cada</w:t>
      </w:r>
      <w:r>
        <w:t xml:space="preserve"> </w:t>
      </w:r>
      <w:r>
        <w:t xml:space="preserve">persona, qué puede enseñar y en qué proyecto puede sumarse. Es el componente que convierte al Laboratorio en un</w:t>
      </w:r>
      <w:r>
        <w:t xml:space="preserve"> </w:t>
      </w:r>
      <w:r>
        <w:t xml:space="preserve">espacio para</w:t>
      </w:r>
      <w:r>
        <w:t xml:space="preserve"> </w:t>
      </w:r>
      <w:r>
        <w:rPr>
          <w:b/>
          <w:bCs/>
        </w:rPr>
        <w:t xml:space="preserve">identificar talentos y ponerlos en movimiento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Por qué importa.</w:t>
      </w:r>
      <w:r>
        <w:t xml:space="preserve"> </w:t>
      </w:r>
      <w:r>
        <w:t xml:space="preserve">Los talentos aparecen de casualidad si nadie los busca. La guía V5 propone canales de</w:t>
      </w:r>
      <w:r>
        <w:t xml:space="preserve"> </w:t>
      </w:r>
      <w:r>
        <w:rPr>
          <w:b/>
          <w:bCs/>
        </w:rPr>
        <w:t xml:space="preserve">doble</w:t>
      </w:r>
      <w:r>
        <w:rPr>
          <w:b/>
          <w:bCs/>
        </w:rPr>
        <w:t xml:space="preserve"> </w:t>
      </w:r>
      <w:r>
        <w:rPr>
          <w:b/>
          <w:bCs/>
        </w:rPr>
        <w:t xml:space="preserve">vía</w:t>
      </w:r>
      <w:r>
        <w:t xml:space="preserve"> </w:t>
      </w:r>
      <w:r>
        <w:t xml:space="preserve">y</w:t>
      </w:r>
      <w:r>
        <w:t xml:space="preserve"> </w:t>
      </w:r>
      <w:r>
        <w:rPr>
          <w:b/>
          <w:bCs/>
        </w:rPr>
        <w:t xml:space="preserve">horizontalidad habilitada</w:t>
      </w:r>
      <w:r>
        <w:t xml:space="preserve">: que desde una persona que hace una pasantía hasta un superior jerárquico pueda</w:t>
      </w:r>
      <w:r>
        <w:t xml:space="preserve"> </w:t>
      </w:r>
      <w:r>
        <w:t xml:space="preserve">llegar al Laboratorio sin pasar por cinco jefes intermedios. También recuerda que el conocimiento y la habilidad suman,</w:t>
      </w:r>
      <w:r>
        <w:t xml:space="preserve"> </w:t>
      </w:r>
      <w:r>
        <w:t xml:space="preserve">pero la actitud multiplica:</w:t>
      </w:r>
      <w:r>
        <w:t xml:space="preserve"> </w:t>
      </w:r>
      <w:r>
        <w:rPr>
          <w:b/>
          <w:bCs/>
        </w:rPr>
        <w:t xml:space="preserve">V = (C + H) × A</w:t>
      </w:r>
      <w:r>
        <w:t xml:space="preserve">. Un mapa de talentos registra las tres cosas.</w:t>
      </w:r>
    </w:p>
    <w:p>
      <w:pPr>
        <w:pStyle w:val="BodyText"/>
      </w:pPr>
      <w:r>
        <w:rPr>
          <w:b/>
          <w:bCs/>
        </w:rPr>
        <w:t xml:space="preserve">Cómo empezar.</w:t>
      </w:r>
    </w:p>
    <w:p>
      <w:pPr>
        <w:pStyle w:val="Compact"/>
        <w:numPr>
          <w:ilvl w:val="0"/>
          <w:numId w:val="1006"/>
        </w:numPr>
      </w:pPr>
      <w:r>
        <w:t xml:space="preserve">Pedir a cada integrante del Laboratorio, y a las personas que ya se acercaron con ideas, que completen la</w:t>
      </w:r>
      <w:r>
        <w:t xml:space="preserve"> </w:t>
      </w:r>
      <w:r>
        <w:rPr>
          <w:b/>
          <w:bCs/>
        </w:rPr>
        <w:t xml:space="preserve">autoevaluación B (las personas)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Con los resultados, armar el mapa: quién marcó «puedo enseñarlo» y en qué.</w:t>
      </w:r>
    </w:p>
    <w:p>
      <w:pPr>
        <w:pStyle w:val="Compact"/>
        <w:numPr>
          <w:ilvl w:val="0"/>
          <w:numId w:val="1006"/>
        </w:numPr>
      </w:pPr>
      <w:r>
        <w:t xml:space="preserve">Sumar al menos un talento a cada proyecto o jurado, y pedirle que enseñe lo que sabe a otra persona.</w:t>
      </w:r>
    </w:p>
    <w:p>
      <w:pPr>
        <w:pStyle w:val="FirstParagraph"/>
      </w:pPr>
      <w:r>
        <w:rPr>
          <w:b/>
          <w:bCs/>
        </w:rPr>
        <w:t xml:space="preserve">Señal de que está logrado:</w:t>
      </w:r>
      <w:r>
        <w:t xml:space="preserve"> </w:t>
      </w:r>
      <w:r>
        <w:rPr>
          <w:i/>
          <w:iCs/>
        </w:rPr>
        <w:t xml:space="preserve">«Hay un mapa de talentos actualizado: qué sabe hacer y qué puede enseñar cada</w:t>
      </w:r>
      <w:r>
        <w:rPr>
          <w:i/>
          <w:iCs/>
        </w:rPr>
        <w:t xml:space="preserve"> </w:t>
      </w:r>
      <w:r>
        <w:rPr>
          <w:i/>
          <w:iCs/>
        </w:rPr>
        <w:t xml:space="preserve">persona.»</w:t>
      </w:r>
    </w:p>
    <w:p>
      <w:pPr>
        <w:pStyle w:val="BodyText"/>
      </w:pPr>
      <w:r>
        <w:rPr>
          <w:b/>
          <w:bCs/>
        </w:rPr>
        <w:t xml:space="preserve">Material relacionado.</w:t>
      </w:r>
      <w:r>
        <w:t xml:space="preserve"> </w:t>
      </w:r>
      <w:r>
        <w:t xml:space="preserve">Autoevaluación B (en línea) · Mapa de diagnóstico de la red.</w:t>
      </w:r>
    </w:p>
    <w:bookmarkEnd w:id="16"/>
    <w:bookmarkStart w:id="17" w:name="X2579e670c6e09df59182eae7bff09f6733448c8"/>
    <w:p>
      <w:pPr>
        <w:pStyle w:val="Heading2"/>
      </w:pPr>
      <w:r>
        <w:t xml:space="preserve">2.5 Personas justiciables y necesidades legales</w:t>
      </w:r>
    </w:p>
    <w:p>
      <w:pPr>
        <w:pStyle w:val="FirstParagraph"/>
      </w:pPr>
      <w:r>
        <w:rPr>
          <w:b/>
          <w:bCs/>
        </w:rPr>
        <w:t xml:space="preserve">Qué es.</w:t>
      </w:r>
      <w:r>
        <w:t xml:space="preserve"> </w:t>
      </w:r>
      <w:r>
        <w:t xml:space="preserve">Que los proyectos partan de las</w:t>
      </w:r>
      <w:r>
        <w:t xml:space="preserve"> </w:t>
      </w:r>
      <w:r>
        <w:rPr>
          <w:b/>
          <w:bCs/>
        </w:rPr>
        <w:t xml:space="preserve">necesidades legales</w:t>
      </w:r>
      <w:r>
        <w:t xml:space="preserve"> </w:t>
      </w:r>
      <w:r>
        <w:t xml:space="preserve">de quienes acuden a la justicia, y que esas</w:t>
      </w:r>
      <w:r>
        <w:t xml:space="preserve"> </w:t>
      </w:r>
      <w:r>
        <w:t xml:space="preserve">personas participen en el diseño desde el principio, no solo para validar al final una solución ya decidida.</w:t>
      </w:r>
    </w:p>
    <w:p>
      <w:pPr>
        <w:pStyle w:val="BodyText"/>
      </w:pPr>
      <w:r>
        <w:rPr>
          <w:b/>
          <w:bCs/>
        </w:rPr>
        <w:t xml:space="preserve">Por qué importa.</w:t>
      </w:r>
      <w:r>
        <w:t xml:space="preserve"> </w:t>
      </w:r>
      <w:r>
        <w:t xml:space="preserve">La OCDE, en su «Toolkit for Access to Justice and People-Centred Justice Systems» (noviembre de</w:t>
      </w:r>
      <w:r>
        <w:t xml:space="preserve"> </w:t>
      </w:r>
      <w:r>
        <w:t xml:space="preserve">2025), propone fijar las prioridades de innovación desde las necesidades legales de las personas y crear mecanismos</w:t>
      </w:r>
      <w:r>
        <w:t xml:space="preserve"> </w:t>
      </w:r>
      <w:r>
        <w:t xml:space="preserve">que reúnan a quienes reciben el servicio, a quienes lo prestan y a quienes deciden. Advierte contra dos trampas: la</w:t>
      </w:r>
      <w:r>
        <w:t xml:space="preserve"> </w:t>
      </w:r>
      <w:r>
        <w:t xml:space="preserve">participación «tokenista» (consultar para cumplir) y la innovación guiada por la tecnología en lugar del problema. Su</w:t>
      </w:r>
      <w:r>
        <w:t xml:space="preserve"> </w:t>
      </w:r>
      <w:r>
        <w:t xml:space="preserve">marco de medición («Towards a measurement framework for people-centred justice systems», Working Paper 92, junio de</w:t>
      </w:r>
      <w:r>
        <w:t xml:space="preserve"> </w:t>
      </w:r>
      <w:r>
        <w:t xml:space="preserve">2026) define qué es un buen resultado: que el</w:t>
      </w:r>
      <w:r>
        <w:t xml:space="preserve"> </w:t>
      </w:r>
      <w:r>
        <w:rPr>
          <w:b/>
          <w:bCs/>
        </w:rPr>
        <w:t xml:space="preserve">problema se resuelva</w:t>
      </w:r>
      <w:r>
        <w:t xml:space="preserve">, que el</w:t>
      </w:r>
      <w:r>
        <w:t xml:space="preserve"> </w:t>
      </w:r>
      <w:r>
        <w:rPr>
          <w:b/>
          <w:bCs/>
        </w:rPr>
        <w:t xml:space="preserve">proceso se perciba como justo</w:t>
      </w:r>
      <w:r>
        <w:t xml:space="preserve"> </w:t>
      </w:r>
      <w:r>
        <w:t xml:space="preserve">—ser</w:t>
      </w:r>
      <w:r>
        <w:t xml:space="preserve"> </w:t>
      </w:r>
      <w:r>
        <w:t xml:space="preserve">escuchado, trato digno, claridad— y que aumente la</w:t>
      </w:r>
      <w:r>
        <w:t xml:space="preserve"> </w:t>
      </w:r>
      <w:r>
        <w:rPr>
          <w:b/>
          <w:bCs/>
        </w:rPr>
        <w:t xml:space="preserve">confianza</w:t>
      </w:r>
      <w:r>
        <w:t xml:space="preserve">; incluye como indicador cuántas personas participan</w:t>
      </w:r>
      <w:r>
        <w:t xml:space="preserve"> </w:t>
      </w:r>
      <w:r>
        <w:t xml:space="preserve">en el diseño de los servicios, y pone el foco en el lenguaje claro y la inclusión digital. En Brasil, la Portaria CNJ</w:t>
      </w:r>
      <w:r>
        <w:t xml:space="preserve"> </w:t>
      </w:r>
      <w:r>
        <w:t xml:space="preserve">379/2024 mide los proyectos con participación de usuarios en alguna etapa.</w:t>
      </w:r>
    </w:p>
    <w:p>
      <w:pPr>
        <w:pStyle w:val="BodyText"/>
      </w:pPr>
      <w:r>
        <w:rPr>
          <w:b/>
          <w:bCs/>
        </w:rPr>
        <w:t xml:space="preserve">Cómo empezar.</w:t>
      </w:r>
    </w:p>
    <w:p>
      <w:pPr>
        <w:pStyle w:val="Compact"/>
        <w:numPr>
          <w:ilvl w:val="0"/>
          <w:numId w:val="1007"/>
        </w:numPr>
      </w:pPr>
      <w:r>
        <w:t xml:space="preserve">Antes de diseñar, conversar con personas usuarias u observar cómo viven el problema (entrevistas de cinco</w:t>
      </w:r>
      <w:r>
        <w:t xml:space="preserve"> </w:t>
      </w:r>
      <w:r>
        <w:t xml:space="preserve">preguntas, observación «sombra» en la mesa de entradas o en la oficina de atención).</w:t>
      </w:r>
    </w:p>
    <w:p>
      <w:pPr>
        <w:pStyle w:val="Compact"/>
        <w:numPr>
          <w:ilvl w:val="0"/>
          <w:numId w:val="1007"/>
        </w:numPr>
      </w:pPr>
      <w:r>
        <w:t xml:space="preserve">Identificar las fuentes de necesidades que ya existen: quejas y reclamos, registros de las oficinas de atención al</w:t>
      </w:r>
      <w:r>
        <w:t xml:space="preserve"> </w:t>
      </w:r>
      <w:r>
        <w:t xml:space="preserve">público, encuestas de satisfacción, consultas frecuentes.</w:t>
      </w:r>
    </w:p>
    <w:p>
      <w:pPr>
        <w:pStyle w:val="Compact"/>
        <w:numPr>
          <w:ilvl w:val="0"/>
          <w:numId w:val="1007"/>
        </w:numPr>
      </w:pPr>
      <w:r>
        <w:t xml:space="preserve">Incluir a grupos en situación de vulnerabilidad (personas mayores, con discapacidad, sin acceso digital, que no</w:t>
      </w:r>
      <w:r>
        <w:t xml:space="preserve"> </w:t>
      </w:r>
      <w:r>
        <w:t xml:space="preserve">hablan castellano) y revisar todo material con criterios de lenguaje claro.</w:t>
      </w:r>
    </w:p>
    <w:p>
      <w:pPr>
        <w:pStyle w:val="FirstParagraph"/>
      </w:pPr>
      <w:r>
        <w:rPr>
          <w:b/>
          <w:bCs/>
        </w:rPr>
        <w:t xml:space="preserve">Señal de que está logrado:</w:t>
      </w:r>
      <w:r>
        <w:t xml:space="preserve"> </w:t>
      </w:r>
      <w:r>
        <w:rPr>
          <w:i/>
          <w:iCs/>
        </w:rPr>
        <w:t xml:space="preserve">«Las personas usuarias participan desde el descubrimiento del problema.»</w:t>
      </w:r>
    </w:p>
    <w:p>
      <w:pPr>
        <w:pStyle w:val="BodyText"/>
      </w:pPr>
      <w:r>
        <w:rPr>
          <w:b/>
          <w:bCs/>
        </w:rPr>
        <w:t xml:space="preserve">Material relacionado.</w:t>
      </w:r>
      <w:r>
        <w:t xml:space="preserve"> </w:t>
      </w:r>
      <w:r>
        <w:t xml:space="preserve">Guía Práctica de Innovación (paso 1, personas; paso 2, problema con evidencia) · Lienzo del</w:t>
      </w:r>
      <w:r>
        <w:t xml:space="preserve"> </w:t>
      </w:r>
      <w:r>
        <w:t xml:space="preserve">problema · Caja de herramientas de innovación e IA (descubrimiento continuo).</w:t>
      </w:r>
    </w:p>
    <w:bookmarkEnd w:id="17"/>
    <w:bookmarkStart w:id="18" w:name="canal-de-ideas-de-doble-vía"/>
    <w:p>
      <w:pPr>
        <w:pStyle w:val="Heading2"/>
      </w:pPr>
      <w:r>
        <w:t xml:space="preserve">2.6 Canal de ideas de doble vía</w:t>
      </w:r>
    </w:p>
    <w:p>
      <w:pPr>
        <w:pStyle w:val="FirstParagraph"/>
      </w:pPr>
      <w:r>
        <w:rPr>
          <w:b/>
          <w:bCs/>
        </w:rPr>
        <w:t xml:space="preserve">Qué es.</w:t>
      </w:r>
      <w:r>
        <w:t xml:space="preserve"> </w:t>
      </w:r>
      <w:r>
        <w:t xml:space="preserve">Una forma conocida para que cualquier persona acerque un problema o una idea y</w:t>
      </w:r>
      <w:r>
        <w:t xml:space="preserve"> </w:t>
      </w:r>
      <w:r>
        <w:rPr>
          <w:b/>
          <w:bCs/>
        </w:rPr>
        <w:t xml:space="preserve">reciba respuesta</w:t>
      </w:r>
      <w:r>
        <w:t xml:space="preserve">. En la</w:t>
      </w:r>
      <w:r>
        <w:t xml:space="preserve"> </w:t>
      </w:r>
      <w:r>
        <w:t xml:space="preserve">práctica, la convocatoria de ideas: bases publicadas, evaluación con rúbrica y devolución a todas las personas.</w:t>
      </w:r>
    </w:p>
    <w:p>
      <w:pPr>
        <w:pStyle w:val="BodyText"/>
      </w:pPr>
      <w:r>
        <w:rPr>
          <w:b/>
          <w:bCs/>
        </w:rPr>
        <w:t xml:space="preserve">Por qué importa.</w:t>
      </w:r>
      <w:r>
        <w:t xml:space="preserve"> </w:t>
      </w:r>
      <w:r>
        <w:t xml:space="preserve">Es la puerta del Laboratorio: sin ella, las ideas no llegan. Y es de doble vía: quien propone y</w:t>
      </w:r>
      <w:r>
        <w:t xml:space="preserve"> </w:t>
      </w:r>
      <w:r>
        <w:t xml:space="preserve">no recibe respuesta no vuelve a proponer. La guía V5 la ubica dentro de la estructura innovadora, como el canal por el</w:t>
      </w:r>
      <w:r>
        <w:t xml:space="preserve"> </w:t>
      </w:r>
      <w:r>
        <w:t xml:space="preserve">que la información no solo baja (órdenes) sino que sube (ideas).</w:t>
      </w:r>
    </w:p>
    <w:p>
      <w:pPr>
        <w:pStyle w:val="BodyText"/>
      </w:pPr>
      <w:r>
        <w:rPr>
          <w:b/>
          <w:bCs/>
        </w:rPr>
        <w:t xml:space="preserve">Cómo empezar.</w:t>
      </w:r>
    </w:p>
    <w:p>
      <w:pPr>
        <w:pStyle w:val="Compact"/>
        <w:numPr>
          <w:ilvl w:val="0"/>
          <w:numId w:val="1008"/>
        </w:numPr>
      </w:pPr>
      <w:r>
        <w:t xml:space="preserve">Completar el lienzo de las 12 decisiones; la 6, la 7 y la 11 tienen que quedar decididas o elevadas con fecha.</w:t>
      </w:r>
    </w:p>
    <w:p>
      <w:pPr>
        <w:pStyle w:val="Compact"/>
        <w:numPr>
          <w:ilvl w:val="0"/>
          <w:numId w:val="1008"/>
        </w:numPr>
      </w:pPr>
      <w:r>
        <w:t xml:space="preserve">Publicar las bases (día 11 de la hoja de ruta) y lanzar la convocatoria (día 14).</w:t>
      </w:r>
    </w:p>
    <w:p>
      <w:pPr>
        <w:pStyle w:val="Compact"/>
        <w:numPr>
          <w:ilvl w:val="0"/>
          <w:numId w:val="1008"/>
        </w:numPr>
      </w:pPr>
      <w:r>
        <w:t xml:space="preserve">Comprometer la devolución fundamentada a todas las personas, también a las no seleccionadas.</w:t>
      </w:r>
    </w:p>
    <w:p>
      <w:pPr>
        <w:pStyle w:val="FirstParagraph"/>
      </w:pPr>
      <w:r>
        <w:rPr>
          <w:b/>
          <w:bCs/>
        </w:rPr>
        <w:t xml:space="preserve">Señal de que está logrado:</w:t>
      </w:r>
      <w:r>
        <w:t xml:space="preserve"> </w:t>
      </w:r>
      <w:r>
        <w:rPr>
          <w:i/>
          <w:iCs/>
        </w:rPr>
        <w:t xml:space="preserve">«Cada convocatoria devuelve una respuesta fundamentada a todas las personas que</w:t>
      </w:r>
      <w:r>
        <w:rPr>
          <w:i/>
          <w:iCs/>
        </w:rPr>
        <w:t xml:space="preserve"> </w:t>
      </w:r>
      <w:r>
        <w:rPr>
          <w:i/>
          <w:iCs/>
        </w:rPr>
        <w:t xml:space="preserve">postulan.»</w:t>
      </w:r>
    </w:p>
    <w:p>
      <w:pPr>
        <w:pStyle w:val="BodyText"/>
      </w:pPr>
      <w:r>
        <w:rPr>
          <w:b/>
          <w:bCs/>
        </w:rPr>
        <w:t xml:space="preserve">Material relacionado.</w:t>
      </w:r>
      <w:r>
        <w:t xml:space="preserve"> </w:t>
      </w:r>
      <w:r>
        <w:t xml:space="preserve">Kit de Convocatoria · Lienzo de las 12 decisiones · Modelo de bases · Guía rápida para</w:t>
      </w:r>
      <w:r>
        <w:t xml:space="preserve"> </w:t>
      </w:r>
      <w:r>
        <w:t xml:space="preserve">postular (el formulario: cinco preguntas, una página) · Comunicado del futuro.</w:t>
      </w:r>
    </w:p>
    <w:bookmarkEnd w:id="18"/>
    <w:bookmarkStart w:id="19" w:name="método-común"/>
    <w:p>
      <w:pPr>
        <w:pStyle w:val="Heading2"/>
      </w:pPr>
      <w:r>
        <w:t xml:space="preserve">2.7 Método común</w:t>
      </w:r>
    </w:p>
    <w:p>
      <w:pPr>
        <w:pStyle w:val="FirstParagraph"/>
      </w:pPr>
      <w:r>
        <w:rPr>
          <w:b/>
          <w:bCs/>
        </w:rPr>
        <w:t xml:space="preserve">Qué es.</w:t>
      </w:r>
      <w:r>
        <w:t xml:space="preserve"> </w:t>
      </w:r>
      <w:r>
        <w:t xml:space="preserve">Una forma compartida de pasar de un problema a una solución: la</w:t>
      </w:r>
      <w:r>
        <w:t xml:space="preserve"> </w:t>
      </w:r>
      <w:r>
        <w:rPr>
          <w:b/>
          <w:bCs/>
        </w:rPr>
        <w:t xml:space="preserve">Guía Práctica de Innovación</w:t>
      </w:r>
      <w:r>
        <w:t xml:space="preserve">, siete</w:t>
      </w:r>
      <w:r>
        <w:t xml:space="preserve"> </w:t>
      </w:r>
      <w:r>
        <w:t xml:space="preserve">pasos en tres fases (Entender: personas, problema con evidencia y desafío · Crear: ideas y elección, prototipo y</w:t>
      </w:r>
      <w:r>
        <w:t xml:space="preserve"> </w:t>
      </w:r>
      <w:r>
        <w:t xml:space="preserve">prueba · Proponer: plan de piloto y medición), con un</w:t>
      </w:r>
      <w:r>
        <w:t xml:space="preserve"> </w:t>
      </w:r>
      <w:r>
        <w:rPr>
          <w:b/>
          <w:bCs/>
        </w:rPr>
        <w:t xml:space="preserve">nivel idea</w:t>
      </w:r>
      <w:r>
        <w:t xml:space="preserve"> </w:t>
      </w:r>
      <w:r>
        <w:t xml:space="preserve">(lo que pide la convocatoria) y un</w:t>
      </w:r>
      <w:r>
        <w:t xml:space="preserve"> </w:t>
      </w:r>
      <w:r>
        <w:rPr>
          <w:b/>
          <w:bCs/>
        </w:rPr>
        <w:t xml:space="preserve">nivel</w:t>
      </w:r>
      <w:r>
        <w:rPr>
          <w:b/>
          <w:bCs/>
        </w:rPr>
        <w:t xml:space="preserve"> </w:t>
      </w:r>
      <w:r>
        <w:rPr>
          <w:b/>
          <w:bCs/>
        </w:rPr>
        <w:t xml:space="preserve">proyecto</w:t>
      </w:r>
      <w:r>
        <w:t xml:space="preserve"> </w:t>
      </w:r>
      <w:r>
        <w:t xml:space="preserve">(lo que se trabaja en la incubación). Al final de cada etapa se toma una</w:t>
      </w:r>
      <w:r>
        <w:t xml:space="preserve"> </w:t>
      </w:r>
      <w:r>
        <w:rPr>
          <w:b/>
          <w:bCs/>
        </w:rPr>
        <w:t xml:space="preserve">decisión explícita</w:t>
      </w:r>
      <w:r>
        <w:t xml:space="preserve">: seguir,</w:t>
      </w:r>
      <w:r>
        <w:t xml:space="preserve"> </w:t>
      </w:r>
      <w:r>
        <w:t xml:space="preserve">ajustar, pausar o cerrar.</w:t>
      </w:r>
    </w:p>
    <w:p>
      <w:pPr>
        <w:pStyle w:val="BodyText"/>
      </w:pPr>
      <w:r>
        <w:rPr>
          <w:b/>
          <w:bCs/>
        </w:rPr>
        <w:t xml:space="preserve">Por qué importa.</w:t>
      </w:r>
      <w:r>
        <w:t xml:space="preserve"> </w:t>
      </w:r>
      <w:r>
        <w:t xml:space="preserve">Un mismo método permite que quien propone sepa qué se espera, que quien evalúa use los mismos</w:t>
      </w:r>
      <w:r>
        <w:t xml:space="preserve"> </w:t>
      </w:r>
      <w:r>
        <w:t xml:space="preserve">criterios en todos los Laboratorios y que lo que funcionó en un fuero se replique en otro. El ejemplo de las</w:t>
      </w:r>
      <w:r>
        <w:t xml:space="preserve"> </w:t>
      </w:r>
      <w:r>
        <w:t xml:space="preserve">notificaciones del documento «10 pasos para la Innovación» lo muestra: el problema se enuncia con un dato y su fuente</w:t>
      </w:r>
      <w:r>
        <w:t xml:space="preserve"> </w:t>
      </w:r>
      <w:r>
        <w:t xml:space="preserve">(cifras ilustrativas), el desafío es una pregunta abierta y la medición vuelve al mismo dato. Decidir al final de cada</w:t>
      </w:r>
      <w:r>
        <w:t xml:space="preserve"> </w:t>
      </w:r>
      <w:r>
        <w:t xml:space="preserve">etapa evita el proyecto que sigue por inercia.</w:t>
      </w:r>
    </w:p>
    <w:p>
      <w:pPr>
        <w:pStyle w:val="BodyText"/>
      </w:pPr>
      <w:r>
        <w:rPr>
          <w:b/>
          <w:bCs/>
        </w:rPr>
        <w:t xml:space="preserve">Cómo empezar.</w:t>
      </w:r>
    </w:p>
    <w:p>
      <w:pPr>
        <w:pStyle w:val="Compact"/>
        <w:numPr>
          <w:ilvl w:val="0"/>
          <w:numId w:val="1009"/>
        </w:numPr>
      </w:pPr>
      <w:r>
        <w:t xml:space="preserve">Recorrer los siete pasos con un problema real del Laboratorio, aunque sea chico.</w:t>
      </w:r>
    </w:p>
    <w:p>
      <w:pPr>
        <w:pStyle w:val="Compact"/>
        <w:numPr>
          <w:ilvl w:val="0"/>
          <w:numId w:val="1009"/>
        </w:numPr>
      </w:pPr>
      <w:r>
        <w:t xml:space="preserve">Usar las cuatro preguntas del encuentro en cada paso: ¿se entiende?, ¿sirve acá?, ¿qué falta?, ¿qué sobra?</w:t>
      </w:r>
    </w:p>
    <w:p>
      <w:pPr>
        <w:pStyle w:val="Compact"/>
        <w:numPr>
          <w:ilvl w:val="0"/>
          <w:numId w:val="1009"/>
        </w:numPr>
      </w:pPr>
      <w:r>
        <w:t xml:space="preserve">Fijar antes de cada prueba el umbral de éxito y, al terminarla, registrar la decisión (seguir, ajustar, pausar o</w:t>
      </w:r>
      <w:r>
        <w:t xml:space="preserve"> </w:t>
      </w:r>
      <w:r>
        <w:t xml:space="preserve">cerrar) y por qué.</w:t>
      </w:r>
    </w:p>
    <w:p>
      <w:pPr>
        <w:pStyle w:val="FirstParagraph"/>
      </w:pPr>
      <w:r>
        <w:rPr>
          <w:b/>
          <w:bCs/>
        </w:rPr>
        <w:t xml:space="preserve">Señal de que está logrado:</w:t>
      </w:r>
      <w:r>
        <w:t xml:space="preserve"> </w:t>
      </w:r>
      <w:r>
        <w:rPr>
          <w:i/>
          <w:iCs/>
        </w:rPr>
        <w:t xml:space="preserve">«Se usa la Guía Práctica de Innovación, con una decisión explícita al final de cada</w:t>
      </w:r>
      <w:r>
        <w:rPr>
          <w:i/>
          <w:iCs/>
        </w:rPr>
        <w:t xml:space="preserve"> </w:t>
      </w:r>
      <w:r>
        <w:rPr>
          <w:i/>
          <w:iCs/>
        </w:rPr>
        <w:t xml:space="preserve">etapa: seguir, ajustar, pausar o cerrar.»</w:t>
      </w:r>
    </w:p>
    <w:p>
      <w:pPr>
        <w:pStyle w:val="BodyText"/>
      </w:pPr>
      <w:r>
        <w:rPr>
          <w:b/>
          <w:bCs/>
        </w:rPr>
        <w:t xml:space="preserve">Material relacionado.</w:t>
      </w:r>
      <w:r>
        <w:t xml:space="preserve"> </w:t>
      </w:r>
      <w:r>
        <w:t xml:space="preserve">Guía Práctica de Innovación v0.95 (la v1.0 incorpora lo acordado el 16 de octubre) · Los 7</w:t>
      </w:r>
      <w:r>
        <w:t xml:space="preserve"> </w:t>
      </w:r>
      <w:r>
        <w:t xml:space="preserve">pasos (A3) · Lienzo del problema · Lienzo del proyecto · Árbol de oportunidades y supuestos.</w:t>
      </w:r>
    </w:p>
    <w:bookmarkEnd w:id="19"/>
    <w:bookmarkStart w:id="20" w:name="datos-ia-e-independencia-judicial"/>
    <w:p>
      <w:pPr>
        <w:pStyle w:val="Heading2"/>
      </w:pPr>
      <w:r>
        <w:t xml:space="preserve">2.8 Datos, IA e independencia judicial</w:t>
      </w:r>
    </w:p>
    <w:p>
      <w:pPr>
        <w:pStyle w:val="FirstParagraph"/>
      </w:pPr>
      <w:r>
        <w:rPr>
          <w:b/>
          <w:bCs/>
        </w:rPr>
        <w:t xml:space="preserve">Qué es.</w:t>
      </w:r>
      <w:r>
        <w:t xml:space="preserve"> </w:t>
      </w:r>
      <w:r>
        <w:t xml:space="preserve">Reglas claras para usar datos e inteligencia artificial en los proyectos: qué se puede usar, cómo se</w:t>
      </w:r>
      <w:r>
        <w:t xml:space="preserve"> </w:t>
      </w:r>
      <w:r>
        <w:t xml:space="preserve">evalúa el riesgo antes de probar, quién supervisa y cómo se protege que la decisión judicial siga siendo humana.</w:t>
      </w:r>
    </w:p>
    <w:p>
      <w:pPr>
        <w:pStyle w:val="BodyText"/>
      </w:pPr>
      <w:r>
        <w:rPr>
          <w:b/>
          <w:bCs/>
        </w:rPr>
        <w:t xml:space="preserve">Por qué importa.</w:t>
      </w:r>
      <w:r>
        <w:t xml:space="preserve"> </w:t>
      </w:r>
      <w:r>
        <w:t xml:space="preserve">Los marcos vigentes coinciden en lo esencial: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UNESCO</w:t>
      </w:r>
      <w:r>
        <w:t xml:space="preserve">, Directrices para el uso de sistemas de IA en cortes y tribunales (diciembre de 2025): supervisión humana,</w:t>
      </w:r>
      <w:r>
        <w:t xml:space="preserve"> </w:t>
      </w:r>
      <w:r>
        <w:t xml:space="preserve">verificar lo que produce la IA, informar cuándo se usó, no delegar la decisión y capacitarse antes de usarla.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Cumbre Judicial Iberoamericana</w:t>
      </w:r>
      <w:r>
        <w:t xml:space="preserve">, Código Ético Iberoamericano para el Uso de Inteligencia Artificial en el Ámbito</w:t>
      </w:r>
      <w:r>
        <w:t xml:space="preserve"> </w:t>
      </w:r>
      <w:r>
        <w:t xml:space="preserve">Judicial (versión íntegra, mayo de 2026): derechos humanos, protección de datos personales, supervisión humana,</w:t>
      </w:r>
      <w:r>
        <w:t xml:space="preserve"> </w:t>
      </w:r>
      <w:r>
        <w:t xml:space="preserve">independencia judicial, evaluación de riesgos, monitoreo y auditoría.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CEPEJ</w:t>
      </w:r>
      <w:r>
        <w:t xml:space="preserve"> </w:t>
      </w:r>
      <w:r>
        <w:t xml:space="preserve">(Consejo de Europa), Guidelines on the Use of Generative AI for Courts (diciembre de 2025): empezar por el</w:t>
      </w:r>
      <w:r>
        <w:t xml:space="preserve"> </w:t>
      </w:r>
      <w:r>
        <w:t xml:space="preserve">problema, probar primero las soluciones convencionales, pilotos reversibles con métricas y acceso garantizado a un</w:t>
      </w:r>
      <w:r>
        <w:t xml:space="preserve"> </w:t>
      </w:r>
      <w:r>
        <w:t xml:space="preserve">juez humano.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CEJA</w:t>
      </w:r>
      <w:r>
        <w:t xml:space="preserve">, «Inteligencia Artificial en los Poderes Judiciales: Reflexiones y Lineamientos para las Américas»</w:t>
      </w:r>
      <w:r>
        <w:t xml:space="preserve"> </w:t>
      </w:r>
      <w:r>
        <w:t xml:space="preserve">(diciembre de 2025).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Protocolos locales</w:t>
      </w:r>
      <w:r>
        <w:t xml:space="preserve">: Jujuy (Acordada 31/2025), Ciudad de Buenos Aires (Resolución CM 255/2025) y Río Negro</w:t>
      </w:r>
      <w:r>
        <w:t xml:space="preserve"> </w:t>
      </w:r>
      <w:r>
        <w:t xml:space="preserve">(Acordada 15/2024). Donde hay protocolo local, prevalece si es más exigente.</w:t>
      </w:r>
    </w:p>
    <w:p>
      <w:pPr>
        <w:pStyle w:val="FirstParagraph"/>
      </w:pPr>
      <w:r>
        <w:rPr>
          <w:b/>
          <w:bCs/>
        </w:rPr>
        <w:t xml:space="preserve">Cómo empezar.</w:t>
      </w:r>
    </w:p>
    <w:p>
      <w:pPr>
        <w:pStyle w:val="Compact"/>
        <w:numPr>
          <w:ilvl w:val="0"/>
          <w:numId w:val="1011"/>
        </w:numPr>
      </w:pPr>
      <w:r>
        <w:t xml:space="preserve">Adoptar el protocolo de IA de la jurisdicción o, si no lo hay, aplicar uno de referencia hasta que la conducción</w:t>
      </w:r>
      <w:r>
        <w:t xml:space="preserve"> </w:t>
      </w:r>
      <w:r>
        <w:t xml:space="preserve">dicte el propio. Regla mínima: no cargar datos personales ni de causas en herramientas no autorizadas.</w:t>
      </w:r>
    </w:p>
    <w:p>
      <w:pPr>
        <w:pStyle w:val="Compact"/>
        <w:numPr>
          <w:ilvl w:val="0"/>
          <w:numId w:val="1011"/>
        </w:numPr>
      </w:pPr>
      <w:r>
        <w:t xml:space="preserve">Antes de probar cualquier caso de uso con datos o IA, evaluar su riesgo: impacto en derechos, gravedad del error y</w:t>
      </w:r>
      <w:r>
        <w:t xml:space="preserve"> </w:t>
      </w:r>
      <w:r>
        <w:t xml:space="preserve">si el error es reversible.</w:t>
      </w:r>
    </w:p>
    <w:p>
      <w:pPr>
        <w:pStyle w:val="Compact"/>
        <w:numPr>
          <w:ilvl w:val="0"/>
          <w:numId w:val="1011"/>
        </w:numPr>
      </w:pPr>
      <w:r>
        <w:t xml:space="preserve">Definir, antes de adoptar un sistema, cómo se lo evalúa: casos de prueba, precisión esperada y revisión humana.</w:t>
      </w:r>
    </w:p>
    <w:p>
      <w:pPr>
        <w:pStyle w:val="FirstParagraph"/>
      </w:pPr>
      <w:r>
        <w:rPr>
          <w:b/>
          <w:bCs/>
        </w:rPr>
        <w:t xml:space="preserve">Señal de que está logrado:</w:t>
      </w:r>
      <w:r>
        <w:t xml:space="preserve"> </w:t>
      </w:r>
      <w:r>
        <w:rPr>
          <w:i/>
          <w:iCs/>
        </w:rPr>
        <w:t xml:space="preserve">«Cada proyecto con datos o IA pasa por una evaluación de riesgo antes de probarse.»</w:t>
      </w:r>
    </w:p>
    <w:p>
      <w:pPr>
        <w:pStyle w:val="BodyText"/>
      </w:pPr>
      <w:r>
        <w:rPr>
          <w:b/>
          <w:bCs/>
        </w:rPr>
        <w:t xml:space="preserve">Material relacionado.</w:t>
      </w:r>
      <w:r>
        <w:t xml:space="preserve"> </w:t>
      </w:r>
      <w:r>
        <w:t xml:space="preserve">Lienzo de caso de uso de IA · Caja de herramientas de innovación e IA (banco de pruebas)</w:t>
      </w:r>
      <w:r>
        <w:t xml:space="preserve"> </w:t>
      </w:r>
      <w:r>
        <w:t xml:space="preserve">· Guía Práctica de Innovación v0.95 (Anexo A, IA responsable).</w:t>
      </w:r>
    </w:p>
    <w:bookmarkEnd w:id="20"/>
    <w:bookmarkStart w:id="21" w:name="cartera-resultados-y-escalamiento"/>
    <w:p>
      <w:pPr>
        <w:pStyle w:val="Heading2"/>
      </w:pPr>
      <w:r>
        <w:t xml:space="preserve">2.9 Cartera, resultados y escalamiento</w:t>
      </w:r>
    </w:p>
    <w:p>
      <w:pPr>
        <w:pStyle w:val="FirstParagraph"/>
      </w:pPr>
      <w:r>
        <w:rPr>
          <w:b/>
          <w:bCs/>
        </w:rPr>
        <w:t xml:space="preserve">Qué es.</w:t>
      </w:r>
      <w:r>
        <w:t xml:space="preserve"> </w:t>
      </w:r>
      <w:r>
        <w:t xml:space="preserve">Saber qué proyectos tiene el Laboratorio, en qué etapa está cada uno,</w:t>
      </w:r>
      <w:r>
        <w:t xml:space="preserve"> </w:t>
      </w:r>
      <w:r>
        <w:rPr>
          <w:b/>
          <w:bCs/>
        </w:rPr>
        <w:t xml:space="preserve">qué cambió para las personas</w:t>
      </w:r>
      <w:r>
        <w:t xml:space="preserve"> </w:t>
      </w:r>
      <w:r>
        <w:t xml:space="preserve">y</w:t>
      </w:r>
      <w:r>
        <w:t xml:space="preserve"> </w:t>
      </w:r>
      <w:r>
        <w:t xml:space="preserve">qué soluciones se adoptaron o transfirieron. Incluye la línea base de cada proyecto, los indicadores de resultado y</w:t>
      </w:r>
      <w:r>
        <w:t xml:space="preserve"> </w:t>
      </w:r>
      <w:r>
        <w:t xml:space="preserve">cómo se asignan los recursos.</w:t>
      </w:r>
    </w:p>
    <w:p>
      <w:pPr>
        <w:pStyle w:val="BodyText"/>
      </w:pPr>
      <w:r>
        <w:rPr>
          <w:b/>
          <w:bCs/>
        </w:rPr>
        <w:t xml:space="preserve">Por qué importa.</w:t>
      </w:r>
      <w:r>
        <w:t xml:space="preserve"> </w:t>
      </w:r>
      <w:r>
        <w:t xml:space="preserve">La guía V5 lo resume:</w:t>
      </w:r>
      <w:r>
        <w:t xml:space="preserve"> </w:t>
      </w:r>
      <w:r>
        <w:rPr>
          <w:b/>
          <w:bCs/>
        </w:rPr>
        <w:t xml:space="preserve">lo que no se mide, no existe en la estructura formal</w:t>
      </w:r>
      <w:r>
        <w:t xml:space="preserve">. Pero medir</w:t>
      </w:r>
      <w:r>
        <w:t xml:space="preserve"> </w:t>
      </w:r>
      <w:r>
        <w:t xml:space="preserve">actividad (reuniones, capacitaciones) no muestra cambios: hay que medir resultados para las personas —problema</w:t>
      </w:r>
      <w:r>
        <w:t xml:space="preserve"> </w:t>
      </w:r>
      <w:r>
        <w:t xml:space="preserve">resuelto, tiempo, costo o trato— como propone el marco de medición de la OCDE. Y el éxito de un Laboratorio se ve en lo</w:t>
      </w:r>
      <w:r>
        <w:t xml:space="preserve"> </w:t>
      </w:r>
      <w:r>
        <w:t xml:space="preserve">que</w:t>
      </w:r>
      <w:r>
        <w:t xml:space="preserve"> </w:t>
      </w:r>
      <w:r>
        <w:rPr>
          <w:b/>
          <w:bCs/>
        </w:rPr>
        <w:t xml:space="preserve">se adopta y se transfiere</w:t>
      </w:r>
      <w:r>
        <w:t xml:space="preserve">: el CNJ de Brasil cuenta los proyectos transferidos y adoptados. Tres herramientas</w:t>
      </w:r>
      <w:r>
        <w:t xml:space="preserve"> </w:t>
      </w:r>
      <w:r>
        <w:t xml:space="preserve">ayudan a gestionar la cartera: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Equilibrio</w:t>
      </w:r>
      <w:r>
        <w:t xml:space="preserve">: OCDE-OPSI propone cuatro facetas de la innovación pública —de mejora, adaptativa, orientada a</w:t>
      </w:r>
      <w:r>
        <w:t xml:space="preserve"> </w:t>
      </w:r>
      <w:r>
        <w:t xml:space="preserve">misión y anticipatoria— y una herramienta para revisar la cartera (Portfolio Exploration Tool). Una cartera solo de</w:t>
      </w:r>
      <w:r>
        <w:t xml:space="preserve"> </w:t>
      </w:r>
      <w:r>
        <w:t xml:space="preserve">mejoras se queda corta; una solo anticipatoria no entrega resultados.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Financiamiento por etapas</w:t>
      </w:r>
      <w:r>
        <w:t xml:space="preserve">: el «Test, Learn and Grow Playbook» del Reino Unido (Cabinet Office, octubre de 2026)</w:t>
      </w:r>
      <w:r>
        <w:t xml:space="preserve"> </w:t>
      </w:r>
      <w:r>
        <w:t xml:space="preserve">asigna recursos de a etapas y decide en cada una si seguir, ajustar, pausar o cerrar.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Transferencia planificada</w:t>
      </w:r>
      <w:r>
        <w:t xml:space="preserve">: quién recibe la solución, con qué presupuesto y qué proceso o norma cambia.</w:t>
      </w:r>
    </w:p>
    <w:p>
      <w:pPr>
        <w:pStyle w:val="FirstParagraph"/>
      </w:pPr>
      <w:r>
        <w:rPr>
          <w:b/>
          <w:bCs/>
        </w:rPr>
        <w:t xml:space="preserve">Cómo empezar.</w:t>
      </w:r>
    </w:p>
    <w:p>
      <w:pPr>
        <w:pStyle w:val="Compact"/>
        <w:numPr>
          <w:ilvl w:val="0"/>
          <w:numId w:val="1013"/>
        </w:numPr>
      </w:pPr>
      <w:r>
        <w:t xml:space="preserve">Listar todos los proyectos con su etapa: idea, descubrimiento, prueba, piloto, adoptado o cerrado; y ubicar cada</w:t>
      </w:r>
      <w:r>
        <w:t xml:space="preserve"> </w:t>
      </w:r>
      <w:r>
        <w:t xml:space="preserve">uno en una de las cuatro facetas.</w:t>
      </w:r>
    </w:p>
    <w:p>
      <w:pPr>
        <w:pStyle w:val="Compact"/>
        <w:numPr>
          <w:ilvl w:val="0"/>
          <w:numId w:val="1013"/>
        </w:numPr>
      </w:pPr>
      <w:r>
        <w:t xml:space="preserve">Para cada proyecto en prueba o piloto, registrar la línea base con fuente y fecha y un indicador de resultado para</w:t>
      </w:r>
      <w:r>
        <w:t xml:space="preserve"> </w:t>
      </w:r>
      <w:r>
        <w:t xml:space="preserve">las personas.</w:t>
      </w:r>
    </w:p>
    <w:p>
      <w:pPr>
        <w:pStyle w:val="Compact"/>
        <w:numPr>
          <w:ilvl w:val="0"/>
          <w:numId w:val="1013"/>
        </w:numPr>
      </w:pPr>
      <w:r>
        <w:t xml:space="preserve">Llevar los indicadores del Laboratorio: ideas recibidas, devueltas, llegadas a piloto, adoptadas y transferidas.</w:t>
      </w:r>
    </w:p>
    <w:p>
      <w:pPr>
        <w:pStyle w:val="FirstParagraph"/>
      </w:pPr>
      <w:r>
        <w:rPr>
          <w:b/>
          <w:bCs/>
        </w:rPr>
        <w:t xml:space="preserve">Señal de que está logrado:</w:t>
      </w:r>
      <w:r>
        <w:t xml:space="preserve"> </w:t>
      </w:r>
      <w:r>
        <w:rPr>
          <w:i/>
          <w:iCs/>
        </w:rPr>
        <w:t xml:space="preserve">«Cada proyecto tiene línea base e indicadores de resultado para las personas: problema</w:t>
      </w:r>
      <w:r>
        <w:rPr>
          <w:i/>
          <w:iCs/>
        </w:rPr>
        <w:t xml:space="preserve"> </w:t>
      </w:r>
      <w:r>
        <w:rPr>
          <w:i/>
          <w:iCs/>
        </w:rPr>
        <w:t xml:space="preserve">resuelto, tiempo, costo o trato.»</w:t>
      </w:r>
    </w:p>
    <w:p>
      <w:pPr>
        <w:pStyle w:val="BodyText"/>
      </w:pPr>
      <w:r>
        <w:rPr>
          <w:b/>
          <w:bCs/>
        </w:rPr>
        <w:t xml:space="preserve">Material relacionado.</w:t>
      </w:r>
      <w:r>
        <w:t xml:space="preserve"> </w:t>
      </w:r>
      <w:r>
        <w:t xml:space="preserve">Guía Práctica de Innovación (paso 7, medición) · Árbol de oportunidades y supuestos · Caja</w:t>
      </w:r>
      <w:r>
        <w:t xml:space="preserve"> </w:t>
      </w:r>
      <w:r>
        <w:t xml:space="preserve">de herramientas (mesa de evidencia, ciclos de seis semanas) · La plataforma JusLab (registro de la evaluación y la</w:t>
      </w:r>
      <w:r>
        <w:t xml:space="preserve"> </w:t>
      </w:r>
      <w:r>
        <w:t xml:space="preserve">devolución).</w:t>
      </w:r>
    </w:p>
    <w:bookmarkEnd w:id="21"/>
    <w:bookmarkStart w:id="22" w:name="cultura-alianzas-y-aprendizaje-en-red"/>
    <w:p>
      <w:pPr>
        <w:pStyle w:val="Heading2"/>
      </w:pPr>
      <w:r>
        <w:t xml:space="preserve">2.10 Cultura, alianzas y aprendizaje en red</w:t>
      </w:r>
    </w:p>
    <w:p>
      <w:pPr>
        <w:pStyle w:val="FirstParagraph"/>
      </w:pPr>
      <w:r>
        <w:rPr>
          <w:b/>
          <w:bCs/>
        </w:rPr>
        <w:t xml:space="preserve">Qué es.</w:t>
      </w:r>
      <w:r>
        <w:t xml:space="preserve"> </w:t>
      </w:r>
      <w:r>
        <w:t xml:space="preserve">Un ambiente donde se puede proponer, equivocarse en pequeño y contarlo, dentro del Laboratorio, con los</w:t>
      </w:r>
      <w:r>
        <w:t xml:space="preserve"> </w:t>
      </w:r>
      <w:r>
        <w:t xml:space="preserve">demás Laboratorios y con aliados externos: academia, sociedad civil y otras instituciones.</w:t>
      </w:r>
    </w:p>
    <w:p>
      <w:pPr>
        <w:pStyle w:val="BodyText"/>
      </w:pPr>
      <w:r>
        <w:rPr>
          <w:b/>
          <w:bCs/>
        </w:rPr>
        <w:t xml:space="preserve">Por qué importa.</w:t>
      </w:r>
      <w:r>
        <w:t xml:space="preserve"> </w:t>
      </w:r>
      <w:r>
        <w:t xml:space="preserve">La guía V5 recoge dos hallazgos. Amy Edmondson mostró que los equipos que aprenden son los que</w:t>
      </w:r>
      <w:r>
        <w:t xml:space="preserve"> </w:t>
      </w:r>
      <w:r>
        <w:t xml:space="preserve">tienen</w:t>
      </w:r>
      <w:r>
        <w:t xml:space="preserve"> </w:t>
      </w:r>
      <w:r>
        <w:rPr>
          <w:b/>
          <w:bCs/>
        </w:rPr>
        <w:t xml:space="preserve">seguridad psicológica</w:t>
      </w:r>
      <w:r>
        <w:t xml:space="preserve">: pueden decir «me equivoqué» o «no sé» sin costo. Carol Dweck mostró que una</w:t>
      </w:r>
      <w:r>
        <w:t xml:space="preserve"> </w:t>
      </w:r>
      <w:r>
        <w:rPr>
          <w:b/>
          <w:bCs/>
        </w:rPr>
        <w:t xml:space="preserve">mentalidad de crecimiento</w:t>
      </w:r>
      <w:r>
        <w:t xml:space="preserve"> </w:t>
      </w:r>
      <w:r>
        <w:t xml:space="preserve">trata el fracaso como información y no como sentencia. En el sector público, donde el</w:t>
      </w:r>
      <w:r>
        <w:t xml:space="preserve"> </w:t>
      </w:r>
      <w:r>
        <w:t xml:space="preserve">error suele castigarse, esto no ocurre solo: hay que construirlo. Y no se aprende solo: la Declaración sobre</w:t>
      </w:r>
      <w:r>
        <w:t xml:space="preserve"> </w:t>
      </w:r>
      <w:r>
        <w:t xml:space="preserve">Innovación en el Sector Público de la OCDE (2019) incluye entre sus principios</w:t>
      </w:r>
      <w:r>
        <w:t xml:space="preserve"> </w:t>
      </w:r>
      <w:r>
        <w:rPr>
          <w:b/>
          <w:bCs/>
        </w:rPr>
        <w:t xml:space="preserve">cultivar nuevas alianzas y sumar</w:t>
      </w:r>
      <w:r>
        <w:rPr>
          <w:b/>
          <w:bCs/>
        </w:rPr>
        <w:t xml:space="preserve"> </w:t>
      </w:r>
      <w:r>
        <w:rPr>
          <w:b/>
          <w:bCs/>
        </w:rPr>
        <w:t xml:space="preserve">voces distintas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Cómo empezar.</w:t>
      </w:r>
    </w:p>
    <w:p>
      <w:pPr>
        <w:pStyle w:val="Compact"/>
        <w:numPr>
          <w:ilvl w:val="0"/>
          <w:numId w:val="1014"/>
        </w:numPr>
      </w:pPr>
      <w:r>
        <w:t xml:space="preserve">Después de cada prueba, una revisión de 30 minutos sin buscar culpables: qué esperábamos, qué pasó, qué</w:t>
      </w:r>
      <w:r>
        <w:t xml:space="preserve"> </w:t>
      </w:r>
      <w:r>
        <w:t xml:space="preserve">aprendimos; y dejarlo escrito.</w:t>
      </w:r>
    </w:p>
    <w:p>
      <w:pPr>
        <w:pStyle w:val="Compact"/>
        <w:numPr>
          <w:ilvl w:val="0"/>
          <w:numId w:val="1014"/>
        </w:numPr>
      </w:pPr>
      <w:r>
        <w:t xml:space="preserve">Contar un fracaso por mes en el encuentro de la red («el fracaso del mes»).</w:t>
      </w:r>
    </w:p>
    <w:p>
      <w:pPr>
        <w:pStyle w:val="Compact"/>
        <w:numPr>
          <w:ilvl w:val="0"/>
          <w:numId w:val="1014"/>
        </w:numPr>
      </w:pPr>
      <w:r>
        <w:t xml:space="preserve">Sumar al menos un aliado externo al primer proyecto (una universidad, una organización de la sociedad civil, otra</w:t>
      </w:r>
      <w:r>
        <w:t xml:space="preserve"> </w:t>
      </w:r>
      <w:r>
        <w:t xml:space="preserve">institución pública), y reconocer públicamente a quien propuso, aunque la idea no haya avanzado.</w:t>
      </w:r>
    </w:p>
    <w:p>
      <w:pPr>
        <w:pStyle w:val="FirstParagraph"/>
      </w:pPr>
      <w:r>
        <w:rPr>
          <w:b/>
          <w:bCs/>
        </w:rPr>
        <w:t xml:space="preserve">Señal de que está logrado:</w:t>
      </w:r>
      <w:r>
        <w:t xml:space="preserve"> </w:t>
      </w:r>
      <w:r>
        <w:rPr>
          <w:i/>
          <w:iCs/>
        </w:rPr>
        <w:t xml:space="preserve">«Después de cada prueba hay una revisión sin culpables, y lo aprendido queda</w:t>
      </w:r>
      <w:r>
        <w:rPr>
          <w:i/>
          <w:iCs/>
        </w:rPr>
        <w:t xml:space="preserve"> </w:t>
      </w:r>
      <w:r>
        <w:rPr>
          <w:i/>
          <w:iCs/>
        </w:rPr>
        <w:t xml:space="preserve">escrito.»</w:t>
      </w:r>
    </w:p>
    <w:p>
      <w:pPr>
        <w:pStyle w:val="BodyText"/>
      </w:pPr>
      <w:r>
        <w:rPr>
          <w:b/>
          <w:bCs/>
        </w:rPr>
        <w:t xml:space="preserve">Material relacionado.</w:t>
      </w:r>
      <w:r>
        <w:t xml:space="preserve"> </w:t>
      </w:r>
      <w:r>
        <w:t xml:space="preserve">Caja de herramientas de innovación e IA (pre-mortem) · Encuentros de la red (sección 4).</w:t>
      </w:r>
    </w:p>
    <w:bookmarkEnd w:id="22"/>
    <w:bookmarkEnd w:id="23"/>
    <w:bookmarkStart w:id="26" w:name="la-autoevaluación"/>
    <w:p>
      <w:pPr>
        <w:pStyle w:val="Heading1"/>
      </w:pPr>
      <w:r>
        <w:t xml:space="preserve">3. La autoevaluación</w:t>
      </w:r>
    </w:p>
    <w:p>
      <w:pPr>
        <w:pStyle w:val="FirstParagraph"/>
      </w:pPr>
      <w:r>
        <w:t xml:space="preserve">La autoevaluación tiene</w:t>
      </w:r>
      <w:r>
        <w:t xml:space="preserve"> </w:t>
      </w:r>
      <w:r>
        <w:rPr>
          <w:b/>
          <w:bCs/>
        </w:rPr>
        <w:t xml:space="preserve">dos partes</w:t>
      </w:r>
      <w:r>
        <w:t xml:space="preserve"> </w:t>
      </w:r>
      <w:r>
        <w:t xml:space="preserve">y se completa en línea, en la misma dirección que reúne todo el material.</w:t>
      </w:r>
    </w:p>
    <w:p>
      <w:pPr>
        <w:pStyle w:val="BodyText"/>
      </w:pPr>
      <w:r>
        <w:rPr>
          <w:b/>
          <w:bCs/>
        </w:rPr>
        <w:t xml:space="preserve">A · El Laboratorio</w:t>
      </w:r>
      <w:r>
        <w:t xml:space="preserve"> </w:t>
      </w:r>
      <w:r>
        <w:t xml:space="preserve">(una por equipo, unos 12 minutos). Para cada uno de los diez componentes, el equipo elige el</w:t>
      </w:r>
      <w:r>
        <w:t xml:space="preserve"> </w:t>
      </w:r>
      <w:r>
        <w:t xml:space="preserve">nivel que mejor describe</w:t>
      </w:r>
      <w:r>
        <w:t xml:space="preserve"> </w:t>
      </w:r>
      <w:r>
        <w:rPr>
          <w:b/>
          <w:bCs/>
        </w:rPr>
        <w:t xml:space="preserve">hoy</w:t>
      </w:r>
      <w:r>
        <w:t xml:space="preserve"> </w:t>
      </w:r>
      <w:r>
        <w:t xml:space="preserve">a su Laboratorio: Inicial, En desarrollo, Establecido o Referente. Cada nivel está</w:t>
      </w:r>
      <w:r>
        <w:t xml:space="preserve"> </w:t>
      </w:r>
      <w:r>
        <w:t xml:space="preserve">descripto con una sola condición: se elige la descripción, no un número.</w:t>
      </w:r>
      <w:r>
        <w:t xml:space="preserve"> </w:t>
      </w:r>
      <w:r>
        <w:rPr>
          <w:b/>
          <w:bCs/>
        </w:rPr>
        <w:t xml:space="preserve">Desde el nivel 3 se pide una evidencia</w:t>
      </w:r>
      <w:r>
        <w:rPr>
          <w:b/>
          <w:bCs/>
        </w:rPr>
        <w:t xml:space="preserve"> </w:t>
      </w:r>
      <w:r>
        <w:rPr>
          <w:b/>
          <w:bCs/>
        </w:rPr>
        <w:t xml:space="preserve">concreta</w:t>
      </w:r>
      <w:r>
        <w:t xml:space="preserve"> </w:t>
      </w:r>
      <w:r>
        <w:t xml:space="preserve">(el acto, el documento, el registro): así el nivel se puede verificar. Al final hay</w:t>
      </w:r>
      <w:r>
        <w:t xml:space="preserve"> </w:t>
      </w:r>
      <w:r>
        <w:rPr>
          <w:b/>
          <w:bCs/>
        </w:rPr>
        <w:t xml:space="preserve">siete indicadores</w:t>
      </w:r>
      <w:r>
        <w:rPr>
          <w:b/>
          <w:bCs/>
        </w:rPr>
        <w:t xml:space="preserve"> </w:t>
      </w:r>
      <w:r>
        <w:rPr>
          <w:b/>
          <w:bCs/>
        </w:rPr>
        <w:t xml:space="preserve">numéricos opcionales</w:t>
      </w:r>
      <w:r>
        <w:t xml:space="preserve">, inspirados en los que usa el CNJ de Brasil:</w:t>
      </w:r>
    </w:p>
    <w:p>
      <w:pPr>
        <w:pStyle w:val="Compact"/>
        <w:numPr>
          <w:ilvl w:val="0"/>
          <w:numId w:val="1015"/>
        </w:numPr>
      </w:pPr>
      <w:r>
        <w:t xml:space="preserve">Personas con dedicación exclusiva al Laboratorio.</w:t>
      </w:r>
    </w:p>
    <w:p>
      <w:pPr>
        <w:pStyle w:val="Compact"/>
        <w:numPr>
          <w:ilvl w:val="0"/>
          <w:numId w:val="1015"/>
        </w:numPr>
      </w:pPr>
      <w:r>
        <w:t xml:space="preserve">Horas semanales protegidas del equipo núcleo (suma de todas las personas).</w:t>
      </w:r>
    </w:p>
    <w:p>
      <w:pPr>
        <w:pStyle w:val="Compact"/>
        <w:numPr>
          <w:ilvl w:val="0"/>
          <w:numId w:val="1015"/>
        </w:numPr>
      </w:pPr>
      <w:r>
        <w:t xml:space="preserve">Proyectos activos.</w:t>
      </w:r>
    </w:p>
    <w:p>
      <w:pPr>
        <w:pStyle w:val="Compact"/>
        <w:numPr>
          <w:ilvl w:val="0"/>
          <w:numId w:val="1015"/>
        </w:numPr>
      </w:pPr>
      <w:r>
        <w:t xml:space="preserve">De ellos, con participación de personas usuarias en alguna etapa.</w:t>
      </w:r>
    </w:p>
    <w:p>
      <w:pPr>
        <w:pStyle w:val="Compact"/>
        <w:numPr>
          <w:ilvl w:val="0"/>
          <w:numId w:val="1015"/>
        </w:numPr>
      </w:pPr>
      <w:r>
        <w:t xml:space="preserve">De ellos, basados en datos o diagnósticos oficiales.</w:t>
      </w:r>
    </w:p>
    <w:p>
      <w:pPr>
        <w:pStyle w:val="Compact"/>
        <w:numPr>
          <w:ilvl w:val="0"/>
          <w:numId w:val="1015"/>
        </w:numPr>
      </w:pPr>
      <w:r>
        <w:t xml:space="preserve">De ellos, con instituciones externas.</w:t>
      </w:r>
    </w:p>
    <w:p>
      <w:pPr>
        <w:pStyle w:val="Compact"/>
        <w:numPr>
          <w:ilvl w:val="0"/>
          <w:numId w:val="1015"/>
        </w:numPr>
      </w:pPr>
      <w:r>
        <w:t xml:space="preserve">Soluciones adoptadas o transferidas en los últimos 12 meses.</w:t>
      </w:r>
    </w:p>
    <w:p>
      <w:pPr>
        <w:pStyle w:val="FirstParagraph"/>
      </w:pPr>
      <w:r>
        <w:rPr>
          <w:b/>
          <w:bCs/>
        </w:rPr>
        <w:t xml:space="preserve">B · Las personas</w:t>
      </w:r>
      <w:r>
        <w:t xml:space="preserve"> </w:t>
      </w:r>
      <w:r>
        <w:t xml:space="preserve">(cada integrante del Laboratorio y cada talento de la jurisdicción, unos 10 minutos).</w:t>
      </w:r>
      <w:r>
        <w:t xml:space="preserve"> </w:t>
      </w:r>
      <w:r>
        <w:t xml:space="preserve">Veintiséis conductas en cinco áreas: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Evaluación de ideas</w:t>
      </w:r>
      <w:r>
        <w:t xml:space="preserve"> </w:t>
      </w:r>
      <w:r>
        <w:t xml:space="preserve">(5): problema y causa, supuestos críticos, rúbrica y calibración, devolución, riesgos para</w:t>
      </w:r>
      <w:r>
        <w:t xml:space="preserve"> </w:t>
      </w:r>
      <w:r>
        <w:t xml:space="preserve">derechos y datos.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Evaluación y planificación de proyectos</w:t>
      </w:r>
      <w:r>
        <w:t xml:space="preserve"> </w:t>
      </w:r>
      <w:r>
        <w:t xml:space="preserve">(6): conversar con personas usuarias, línea base, prueba con umbral de</w:t>
      </w:r>
      <w:r>
        <w:t xml:space="preserve"> </w:t>
      </w:r>
      <w:r>
        <w:t xml:space="preserve">éxito, teoría de cambio, plan de piloto, decidir seguir, ajustar, pausar o cerrar.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Gestión de la innovación</w:t>
      </w:r>
      <w:r>
        <w:t xml:space="preserve"> </w:t>
      </w:r>
      <w:r>
        <w:t xml:space="preserve">(7): convocatoria, respaldo, facilitación, cartera por etapas, aliados externos,</w:t>
      </w:r>
      <w:r>
        <w:t xml:space="preserve"> </w:t>
      </w:r>
      <w:r>
        <w:t xml:space="preserve">transferencia, comunicación de resultados y fracasos.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IA y datos</w:t>
      </w:r>
      <w:r>
        <w:t xml:space="preserve"> </w:t>
      </w:r>
      <w:r>
        <w:t xml:space="preserve">(5): qué hace y qué no una herramienta, verificar y no delegar, aplicar el protocolo, clasificar el</w:t>
      </w:r>
      <w:r>
        <w:t xml:space="preserve"> </w:t>
      </w:r>
      <w:r>
        <w:t xml:space="preserve">riesgo de un caso de uso, evaluar un sistema antes de adoptarlo.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Actitud (factor A)</w:t>
      </w:r>
      <w:r>
        <w:t xml:space="preserve"> </w:t>
      </w:r>
      <w:r>
        <w:t xml:space="preserve">(3): errores como aprendizaje, compartir lo que se sabe, buscar antes de inventar.</w:t>
      </w:r>
    </w:p>
    <w:p>
      <w:pPr>
        <w:pStyle w:val="FirstParagraph"/>
      </w:pPr>
      <w:r>
        <w:t xml:space="preserve">Cada conducta indica la</w:t>
      </w:r>
      <w:r>
        <w:t xml:space="preserve"> </w:t>
      </w:r>
      <w:r>
        <w:rPr>
          <w:b/>
          <w:bCs/>
        </w:rPr>
        <w:t xml:space="preserve">competencia</w:t>
      </w:r>
      <w:r>
        <w:t xml:space="preserve"> </w:t>
      </w:r>
      <w:r>
        <w:t xml:space="preserve">a la que aporta, según las competencias de innovación de OCDE-OPSI («Core</w:t>
      </w:r>
      <w:r>
        <w:t xml:space="preserve"> </w:t>
      </w:r>
      <w:r>
        <w:t xml:space="preserve">skills for public sector innovation», 2017, adoptadas por el CNJ): iteración, datos y evidencia, foco en las personas</w:t>
      </w:r>
      <w:r>
        <w:t xml:space="preserve"> </w:t>
      </w:r>
      <w:r>
        <w:t xml:space="preserve">usuarias, curiosidad, narrativa e insurgencia; más colaboración e IA responsable.</w:t>
      </w:r>
    </w:p>
    <w:p>
      <w:pPr>
        <w:pStyle w:val="BodyText"/>
      </w:pPr>
      <w:r>
        <w:t xml:space="preserve">La escala es por conducta, no por opinión:</w:t>
      </w:r>
      <w:r>
        <w:t xml:space="preserve"> </w:t>
      </w:r>
      <w:r>
        <w:rPr>
          <w:b/>
          <w:bCs/>
        </w:rPr>
        <w:t xml:space="preserve">nunca lo hice · con ayuda · lo hago sola/o · puedo enseñarlo</w:t>
      </w:r>
      <w:r>
        <w:t xml:space="preserve">. Preguntar</w:t>
      </w:r>
      <w:r>
        <w:t xml:space="preserve"> </w:t>
      </w:r>
      <w:r>
        <w:t xml:space="preserve">por lo que se hizo, y no por lo que se sabe, reduce el sesgo de toda autoevaluación.</w:t>
      </w:r>
      <w:r>
        <w:t xml:space="preserve"> </w:t>
      </w:r>
      <w:r>
        <w:rPr>
          <w:b/>
          <w:bCs/>
        </w:rPr>
        <w:t xml:space="preserve">«Puedo enseñarlo» marca un</w:t>
      </w:r>
      <w:r>
        <w:rPr>
          <w:b/>
          <w:bCs/>
        </w:rPr>
        <w:t xml:space="preserve"> </w:t>
      </w:r>
      <w:r>
        <w:rPr>
          <w:b/>
          <w:bCs/>
        </w:rPr>
        <w:t xml:space="preserve">talento</w:t>
      </w:r>
      <w:r>
        <w:t xml:space="preserve">: alguien que puede acompañar a otras personas, en su jurisdicción o en otra.</w:t>
      </w:r>
    </w:p>
    <w:bookmarkStart w:id="24" w:name="qué-hacemos-con-los-resultados"/>
    <w:p>
      <w:pPr>
        <w:pStyle w:val="Heading2"/>
      </w:pPr>
      <w:r>
        <w:t xml:space="preserve">Qué hacemos con los resultados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Un mapa de diagnóstico de la red</w:t>
      </w:r>
      <w:r>
        <w:t xml:space="preserve">: cómo está constituido cada Laboratorio y qué capacidades tiene la red en cada</w:t>
      </w:r>
      <w:r>
        <w:t xml:space="preserve"> </w:t>
      </w:r>
      <w:r>
        <w:t xml:space="preserve">área y competencia.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Priorizar la formación</w:t>
      </w:r>
      <w:r>
        <w:t xml:space="preserve"> </w:t>
      </w:r>
      <w:r>
        <w:t xml:space="preserve">donde la red más lo necesita, especialmente en evaluación de ideas, evaluación y</w:t>
      </w:r>
      <w:r>
        <w:t xml:space="preserve"> </w:t>
      </w:r>
      <w:r>
        <w:t xml:space="preserve">planificación de proyectos, gestión de la innovación e IA y datos, con los talentos de la propia red como docentes.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Acordar con datos los ajustes a la base metodológica común.</w:t>
      </w:r>
      <w:r>
        <w:t xml:space="preserve"> </w:t>
      </w:r>
      <w:r>
        <w:t xml:space="preserve">La Guía Práctica de Innovación co-construida el 16</w:t>
      </w:r>
      <w:r>
        <w:t xml:space="preserve"> </w:t>
      </w:r>
      <w:r>
        <w:t xml:space="preserve">de octubre es la base: la autoevaluación no vuelve a foja cero, dice dónde reforzar y qué ajustar.</w:t>
      </w:r>
    </w:p>
    <w:bookmarkEnd w:id="24"/>
    <w:bookmarkStart w:id="25" w:name="privacidad"/>
    <w:p>
      <w:pPr>
        <w:pStyle w:val="Heading2"/>
      </w:pPr>
      <w:r>
        <w:t xml:space="preserve">Privacidad</w:t>
      </w:r>
    </w:p>
    <w:p>
      <w:pPr>
        <w:pStyle w:val="Compact"/>
        <w:numPr>
          <w:ilvl w:val="0"/>
          <w:numId w:val="1018"/>
        </w:numPr>
      </w:pPr>
      <w:r>
        <w:t xml:space="preserve">El</w:t>
      </w:r>
      <w:r>
        <w:t xml:space="preserve"> </w:t>
      </w:r>
      <w:r>
        <w:rPr>
          <w:b/>
          <w:bCs/>
        </w:rPr>
        <w:t xml:space="preserve">mapa público es agregado y sin nombres</w:t>
      </w:r>
      <w:r>
        <w:t xml:space="preserve">. Para no identificar a nadie, los promedios de un Laboratorio se</w:t>
      </w:r>
      <w:r>
        <w:t xml:space="preserve"> </w:t>
      </w:r>
      <w:r>
        <w:t xml:space="preserve">muestran solo cuando responden al menos tres personas.</w:t>
      </w:r>
    </w:p>
    <w:p>
      <w:pPr>
        <w:pStyle w:val="Compact"/>
        <w:numPr>
          <w:ilvl w:val="0"/>
          <w:numId w:val="1018"/>
        </w:numPr>
      </w:pPr>
      <w:r>
        <w:t xml:space="preserve">El</w:t>
      </w:r>
      <w:r>
        <w:t xml:space="preserve"> </w:t>
      </w:r>
      <w:r>
        <w:rPr>
          <w:b/>
          <w:bCs/>
        </w:rPr>
        <w:t xml:space="preserve">detalle por persona lo ve solo la organización</w:t>
      </w:r>
      <w:r>
        <w:t xml:space="preserve"> </w:t>
      </w:r>
      <w:r>
        <w:t xml:space="preserve">de la red.</w:t>
      </w:r>
    </w:p>
    <w:p>
      <w:pPr>
        <w:pStyle w:val="Compact"/>
        <w:numPr>
          <w:ilvl w:val="0"/>
          <w:numId w:val="1018"/>
        </w:numPr>
      </w:pPr>
      <w:r>
        <w:t xml:space="preserve">Aparecer en el</w:t>
      </w:r>
      <w:r>
        <w:t xml:space="preserve"> </w:t>
      </w:r>
      <w:r>
        <w:rPr>
          <w:b/>
          <w:bCs/>
        </w:rPr>
        <w:t xml:space="preserve">directorio de talentos</w:t>
      </w:r>
      <w:r>
        <w:t xml:space="preserve"> </w:t>
      </w:r>
      <w:r>
        <w:t xml:space="preserve">requiere el</w:t>
      </w:r>
      <w:r>
        <w:t xml:space="preserve"> </w:t>
      </w:r>
      <w:r>
        <w:rPr>
          <w:b/>
          <w:bCs/>
        </w:rPr>
        <w:t xml:space="preserve">consentimiento</w:t>
      </w:r>
      <w:r>
        <w:t xml:space="preserve"> </w:t>
      </w:r>
      <w:r>
        <w:t xml:space="preserve">explícito de cada persona.</w:t>
      </w:r>
    </w:p>
    <w:bookmarkEnd w:id="25"/>
    <w:bookmarkEnd w:id="26"/>
    <w:bookmarkStart w:id="27" w:name="encuentros-de-la-red"/>
    <w:p>
      <w:pPr>
        <w:pStyle w:val="Heading1"/>
      </w:pPr>
      <w:r>
        <w:t xml:space="preserve">4. Encuentros de la red</w:t>
      </w:r>
    </w:p>
    <w:p>
      <w:pPr>
        <w:pStyle w:val="BlockText"/>
      </w:pPr>
      <w:r>
        <w:t xml:space="preserve">Compartir y apoyarnos es parte de la estrategia, no algo que ocurra por casualidad.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Cadencia:</w:t>
      </w:r>
      <w:r>
        <w:t xml:space="preserve"> </w:t>
      </w:r>
      <w:r>
        <w:t xml:space="preserve">mensual, 60 minutos, en línea. Fechas a confirmar.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Anfitrión rotativo:</w:t>
      </w:r>
      <w:r>
        <w:t xml:space="preserve"> </w:t>
      </w:r>
      <w:r>
        <w:t xml:space="preserve">cada mes un Laboratorio distinto conduce el encuentro y abre con su caso.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Formato fijo</w:t>
      </w:r>
      <w:r>
        <w:t xml:space="preserve">, siempre en el mismo orden: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Bloque</w:t>
            </w:r>
          </w:p>
        </w:tc>
        <w:tc>
          <w:tcPr/>
          <w:p>
            <w:pPr>
              <w:pStyle w:val="Compact"/>
            </w:pPr>
            <w:r>
              <w:t xml:space="preserve">Minutos</w:t>
            </w:r>
          </w:p>
        </w:tc>
        <w:tc>
          <w:tcPr/>
          <w:p>
            <w:pPr>
              <w:pStyle w:val="Compact"/>
            </w:pPr>
            <w:r>
              <w:t xml:space="preserve">Qué se comparte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Avances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Qué se hizo desde el encuentro anterior, por Laboratorio, en un minuto cada uno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Dificultades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Dónde estamos trabados y qué ayuda necesitamos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 fracaso del mes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Una prueba que no salió como esperábamos y qué aprendimos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Descubrimientos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Una herramienta, un dato o una práctica que vale la pena copiar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Aprendizajes y acuerdos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Qué nos llevamos, quién ayuda a quién y qué traemos el mes próximo</w:t>
            </w:r>
          </w:p>
        </w:tc>
      </w:tr>
    </w:tbl>
    <w:p>
      <w:pPr>
        <w:pStyle w:val="BodyText"/>
      </w:pPr>
      <w:r>
        <w:t xml:space="preserve">Antes de cada encuentro, cada Laboratorio carga en una línea lo que trae: así la agenda se arma sola y nadie llega con</w:t>
      </w:r>
      <w:r>
        <w:t xml:space="preserve"> </w:t>
      </w:r>
      <w:r>
        <w:t xml:space="preserve">las manos vacías.</w:t>
      </w:r>
    </w:p>
    <w:bookmarkEnd w:id="27"/>
    <w:bookmarkStart w:id="28" w:name="primeros-45-días-de-constitución"/>
    <w:p>
      <w:pPr>
        <w:pStyle w:val="Heading1"/>
      </w:pPr>
      <w:r>
        <w:t xml:space="preserve">5. Primeros 45 días de constitución</w:t>
      </w:r>
    </w:p>
    <w:p>
      <w:pPr>
        <w:pStyle w:val="FirstParagraph"/>
      </w:pPr>
      <w:r>
        <w:t xml:space="preserve">La constitución del Laboratorio corre en paralelo con la hoja de ruta de 45 días de la primera convocatoria (día 0 =</w:t>
      </w:r>
      <w:r>
        <w:t xml:space="preserve"> </w:t>
      </w:r>
      <w:r>
        <w:t xml:space="preserve">15 de octubre de 2026). Las dos se refuerzan: la convocatoria es el primer servicio del Laboratorio.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Semana</w:t>
            </w:r>
          </w:p>
        </w:tc>
        <w:tc>
          <w:tcPr/>
          <w:p>
            <w:pPr>
              <w:pStyle w:val="Compact"/>
            </w:pPr>
            <w:r>
              <w:t xml:space="preserve">Días</w:t>
            </w:r>
          </w:p>
        </w:tc>
        <w:tc>
          <w:tcPr/>
          <w:p>
            <w:pPr>
              <w:pStyle w:val="Compact"/>
            </w:pPr>
            <w:r>
              <w:t xml:space="preserve">Para constituir el Laboratorio</w:t>
            </w:r>
          </w:p>
        </w:tc>
        <w:tc>
          <w:tcPr/>
          <w:p>
            <w:pPr>
              <w:pStyle w:val="Compact"/>
            </w:pPr>
            <w:r>
              <w:t xml:space="preserve">Hito de la convocatoria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0–7</w:t>
            </w:r>
          </w:p>
        </w:tc>
        <w:tc>
          <w:tcPr/>
          <w:p>
            <w:pPr>
              <w:pStyle w:val="Compact"/>
            </w:pPr>
            <w:r>
              <w:t xml:space="preserve">Autoevaluación A (equipo) y B (cada integrante) · reunir el acto de creación o redactar el borrador · propósito en una frase · aplicar o adoptar el protocolo de IA</w:t>
            </w:r>
          </w:p>
        </w:tc>
        <w:tc>
          <w:tcPr/>
          <w:p>
            <w:pPr>
              <w:pStyle w:val="Compact"/>
            </w:pPr>
            <w:r>
              <w:t xml:space="preserve">Día 4: decisión elevada · Día 7: respaldo por escrito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8–14</w:t>
            </w:r>
          </w:p>
        </w:tc>
        <w:tc>
          <w:tcPr/>
          <w:p>
            <w:pPr>
              <w:pStyle w:val="Compact"/>
            </w:pPr>
            <w:r>
              <w:t xml:space="preserve">Equipo núcleo con horas protegidas y roles · instancia que decide pilotos · evaluación de riesgo de datos e IA para los proyectos en curso</w:t>
            </w:r>
          </w:p>
        </w:tc>
        <w:tc>
          <w:tcPr/>
          <w:p>
            <w:pPr>
              <w:pStyle w:val="Compact"/>
            </w:pPr>
            <w:r>
              <w:t xml:space="preserve">Día 11: bases publicadas · Día 14: lanzamiento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3–4</w:t>
            </w:r>
          </w:p>
        </w:tc>
        <w:tc>
          <w:tcPr/>
          <w:p>
            <w:pPr>
              <w:pStyle w:val="Compact"/>
            </w:pPr>
            <w:r>
              <w:t xml:space="preserve">15–28</w:t>
            </w:r>
          </w:p>
        </w:tc>
        <w:tc>
          <w:tcPr/>
          <w:p>
            <w:pPr>
              <w:pStyle w:val="Compact"/>
            </w:pPr>
            <w:r>
              <w:t xml:space="preserve">Identificar las fuentes de necesidades legales (quejas, oficinas de atención, encuestas) · invitar a los talentos de la jurisdicción a la autoevaluación B · armar el mapa de talentos · primer encuentro de la red (fecha a confirmar)</w:t>
            </w:r>
          </w:p>
        </w:tc>
        <w:tc>
          <w:tcPr/>
          <w:p>
            <w:pPr>
              <w:pStyle w:val="Compact"/>
            </w:pPr>
            <w:r>
              <w:t xml:space="preserve">Convocatoria abierta con clínicas semanales · Día 28: cierre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5–6</w:t>
            </w:r>
          </w:p>
        </w:tc>
        <w:tc>
          <w:tcPr/>
          <w:p>
            <w:pPr>
              <w:pStyle w:val="Compact"/>
            </w:pPr>
            <w:r>
              <w:t xml:space="preserve">29–42</w:t>
            </w:r>
          </w:p>
        </w:tc>
        <w:tc>
          <w:tcPr/>
          <w:p>
            <w:pPr>
              <w:pStyle w:val="Compact"/>
            </w:pPr>
            <w:r>
              <w:t xml:space="preserve">Sumar talentos y personas usuarias al jurado y a los equipos por misión · listar la cartera con su etapa y su faceta</w:t>
            </w:r>
          </w:p>
        </w:tc>
        <w:tc>
          <w:tcPr/>
          <w:p>
            <w:pPr>
              <w:pStyle w:val="Compact"/>
            </w:pPr>
            <w:r>
              <w:t xml:space="preserve">Días 32–39: admisión, calibración y evaluación · Día 42: devolución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43–45</w:t>
            </w:r>
          </w:p>
        </w:tc>
        <w:tc>
          <w:tcPr/>
          <w:p>
            <w:pPr>
              <w:pStyle w:val="Compact"/>
            </w:pPr>
            <w:r>
              <w:t xml:space="preserve">Revisión sin culpables del primer ciclo · decidir qué componente reforzar</w:t>
            </w:r>
          </w:p>
        </w:tc>
        <w:tc>
          <w:tcPr/>
          <w:p>
            <w:pPr>
              <w:pStyle w:val="Compact"/>
            </w:pPr>
            <w:r>
              <w:t xml:space="preserve">Día 45: comienza la incubación</w:t>
            </w:r>
          </w:p>
        </w:tc>
      </w:tr>
    </w:tbl>
    <w:p>
      <w:pPr>
        <w:pStyle w:val="BodyText"/>
      </w:pPr>
      <w:r>
        <w:t xml:space="preserve">Se recomienda repetir la autoevaluación A al cerrar el primer ciclo, para ver el avance de cada componente.</w:t>
      </w:r>
    </w:p>
    <w:bookmarkEnd w:id="28"/>
    <w:bookmarkStart w:id="42" w:name="fuentes"/>
    <w:p>
      <w:pPr>
        <w:pStyle w:val="Heading1"/>
      </w:pPr>
      <w:r>
        <w:t xml:space="preserve">Fuentes</w:t>
      </w:r>
    </w:p>
    <w:p>
      <w:pPr>
        <w:pStyle w:val="Compact"/>
        <w:numPr>
          <w:ilvl w:val="0"/>
          <w:numId w:val="1020"/>
        </w:numPr>
      </w:pPr>
      <w:r>
        <w:t xml:space="preserve">«Guía práctica para la innovación», versión 5 (agosto de 2026): concepto de innovación, factor A</w:t>
      </w:r>
      <w:r>
        <w:t xml:space="preserve"> </w:t>
      </w:r>
      <w:r>
        <w:t xml:space="preserve">(V = (C + H) × A), seguridad psicológica (Amy Edmondson), mentalidad de crecimiento (Carol Dweck), cultura</w:t>
      </w:r>
      <w:r>
        <w:t xml:space="preserve"> </w:t>
      </w:r>
      <w:r>
        <w:t xml:space="preserve">innovadora, estructura innovadora (redarquía, equipos multidisciplinarios, roles en lugar de cargos, canales de</w:t>
      </w:r>
      <w:r>
        <w:t xml:space="preserve"> </w:t>
      </w:r>
      <w:r>
        <w:t xml:space="preserve">doble vía, modelo ambidextro, indicadores) y liderazgo innovador.</w:t>
      </w:r>
    </w:p>
    <w:p>
      <w:pPr>
        <w:pStyle w:val="Compact"/>
        <w:numPr>
          <w:ilvl w:val="0"/>
          <w:numId w:val="1020"/>
        </w:numPr>
      </w:pPr>
      <w:r>
        <w:t xml:space="preserve">«10 pasos para la Innovación» (2026): ejemplo de las notificaciones (cifras ilustrativas).</w:t>
      </w:r>
    </w:p>
    <w:p>
      <w:pPr>
        <w:pStyle w:val="Compact"/>
        <w:numPr>
          <w:ilvl w:val="0"/>
          <w:numId w:val="1020"/>
        </w:numPr>
      </w:pPr>
      <w:r>
        <w:t xml:space="preserve">OCDE, «Toolkit for Access to Justice and People-Centred Justice Systems» (noviembre de 2025):</w:t>
      </w:r>
      <w:r>
        <w:t xml:space="preserve"> </w:t>
      </w:r>
      <w:hyperlink r:id="rId29">
        <w:r>
          <w:rPr>
            <w:rStyle w:val="Hyperlink"/>
          </w:rPr>
          <w:t xml:space="preserve">https://www.oecd.org/content/dam/oecd/en/publications/reports/2025/11/toolkit-for-access-to-justice-and-people-centred-justice-systems_b1dd9b25/aecf7f78-en.pdf</w:t>
        </w:r>
      </w:hyperlink>
    </w:p>
    <w:p>
      <w:pPr>
        <w:pStyle w:val="Compact"/>
        <w:numPr>
          <w:ilvl w:val="0"/>
          <w:numId w:val="1020"/>
        </w:numPr>
      </w:pPr>
      <w:r>
        <w:t xml:space="preserve">OCDE, «Towards a measurement framework for people-centred justice systems», Working Paper 92 (junio de 2026):</w:t>
      </w:r>
      <w:r>
        <w:t xml:space="preserve"> </w:t>
      </w:r>
      <w:hyperlink r:id="rId30">
        <w:r>
          <w:rPr>
            <w:rStyle w:val="Hyperlink"/>
          </w:rPr>
          <w:t xml:space="preserve">https://www.oecd.org/content/dam/oecd/en/publications/reports/2026/06/towards-a-measurement-framework-for-people-centred-justice-systems_b1446e3b/f4c9dccb-en.pdf</w:t>
        </w:r>
      </w:hyperlink>
    </w:p>
    <w:p>
      <w:pPr>
        <w:pStyle w:val="Compact"/>
        <w:numPr>
          <w:ilvl w:val="0"/>
          <w:numId w:val="1020"/>
        </w:numPr>
      </w:pPr>
      <w:r>
        <w:t xml:space="preserve">OCDE, Declaración sobre Innovación en el Sector Público (2019):</w:t>
      </w:r>
      <w:r>
        <w:t xml:space="preserve"> </w:t>
      </w:r>
      <w:hyperlink r:id="rId31">
        <w:r>
          <w:rPr>
            <w:rStyle w:val="Hyperlink"/>
          </w:rPr>
          <w:t xml:space="preserve">https://oecd-opsi.org/work-areas/declaration/</w:t>
        </w:r>
      </w:hyperlink>
    </w:p>
    <w:p>
      <w:pPr>
        <w:pStyle w:val="Compact"/>
        <w:numPr>
          <w:ilvl w:val="0"/>
          <w:numId w:val="1020"/>
        </w:numPr>
      </w:pPr>
      <w:r>
        <w:t xml:space="preserve">OCDE-OPSI, Portfolio Exploration Tool:</w:t>
      </w:r>
      <w:r>
        <w:t xml:space="preserve"> </w:t>
      </w:r>
      <w:hyperlink r:id="rId32">
        <w:r>
          <w:rPr>
            <w:rStyle w:val="Hyperlink"/>
          </w:rPr>
          <w:t xml:space="preserve">https://oecd-opsi.org/pet/</w:t>
        </w:r>
      </w:hyperlink>
    </w:p>
    <w:p>
      <w:pPr>
        <w:pStyle w:val="Compact"/>
        <w:numPr>
          <w:ilvl w:val="0"/>
          <w:numId w:val="1020"/>
        </w:numPr>
      </w:pPr>
      <w:r>
        <w:t xml:space="preserve">OCDE-OPSI, «Core skills for public sector innovation» (2017):</w:t>
      </w:r>
      <w:r>
        <w:t xml:space="preserve"> </w:t>
      </w:r>
      <w:hyperlink r:id="rId33">
        <w:r>
          <w:rPr>
            <w:rStyle w:val="Hyperlink"/>
          </w:rPr>
          <w:t xml:space="preserve">https://oecd-opsi.org/publications/core-skills/</w:t>
        </w:r>
      </w:hyperlink>
    </w:p>
    <w:p>
      <w:pPr>
        <w:pStyle w:val="Compact"/>
        <w:numPr>
          <w:ilvl w:val="0"/>
          <w:numId w:val="1020"/>
        </w:numPr>
      </w:pPr>
      <w:r>
        <w:t xml:space="preserve">CNJ (Brasil), Resolución 395/2021:</w:t>
      </w:r>
      <w:r>
        <w:t xml:space="preserve"> </w:t>
      </w:r>
      <w:hyperlink r:id="rId34">
        <w:r>
          <w:rPr>
            <w:rStyle w:val="Hyperlink"/>
          </w:rPr>
          <w:t xml:space="preserve">https://atos.cnj.jus.br/atos/detalhar/3973</w:t>
        </w:r>
      </w:hyperlink>
    </w:p>
    <w:p>
      <w:pPr>
        <w:pStyle w:val="Compact"/>
        <w:numPr>
          <w:ilvl w:val="0"/>
          <w:numId w:val="1020"/>
        </w:numPr>
      </w:pPr>
      <w:r>
        <w:t xml:space="preserve">CNJ (Brasil), Portaria 379/2024:</w:t>
      </w:r>
      <w:r>
        <w:t xml:space="preserve"> </w:t>
      </w:r>
      <w:hyperlink r:id="rId35">
        <w:r>
          <w:rPr>
            <w:rStyle w:val="Hyperlink"/>
          </w:rPr>
          <w:t xml:space="preserve">https://atos.cnj.jus.br/atos/detalhar/5853</w:t>
        </w:r>
      </w:hyperlink>
    </w:p>
    <w:p>
      <w:pPr>
        <w:pStyle w:val="Compact"/>
        <w:numPr>
          <w:ilvl w:val="0"/>
          <w:numId w:val="1020"/>
        </w:numPr>
      </w:pPr>
      <w:r>
        <w:t xml:space="preserve">CNJ y PNUD, relevamientos sobre el panorama de la innovación en la justicia brasileña (2024):</w:t>
      </w:r>
      <w:r>
        <w:t xml:space="preserve"> </w:t>
      </w:r>
      <w:hyperlink r:id="rId36">
        <w:r>
          <w:rPr>
            <w:rStyle w:val="Hyperlink"/>
          </w:rPr>
          <w:t xml:space="preserve">https://www.cnj.jus.br/relatorios-analisam-panorama-da-inovacao-na-justica-brasileira/</w:t>
        </w:r>
      </w:hyperlink>
    </w:p>
    <w:p>
      <w:pPr>
        <w:pStyle w:val="Compact"/>
        <w:numPr>
          <w:ilvl w:val="0"/>
          <w:numId w:val="1020"/>
        </w:numPr>
      </w:pPr>
      <w:r>
        <w:t xml:space="preserve">UNESCO, Directrices para el uso de sistemas de IA en cortes y tribunales (diciembre de 2025):</w:t>
      </w:r>
      <w:r>
        <w:t xml:space="preserve"> </w:t>
      </w:r>
      <w:hyperlink r:id="rId37">
        <w:r>
          <w:rPr>
            <w:rStyle w:val="Hyperlink"/>
          </w:rPr>
          <w:t xml:space="preserve">https://www.unesco.org/en/articles/ai-courtroom-unescos-new-guidelines-judiciary</w:t>
        </w:r>
      </w:hyperlink>
    </w:p>
    <w:p>
      <w:pPr>
        <w:pStyle w:val="Compact"/>
        <w:numPr>
          <w:ilvl w:val="0"/>
          <w:numId w:val="1020"/>
        </w:numPr>
      </w:pPr>
      <w:r>
        <w:t xml:space="preserve">Cumbre Judicial Iberoamericana, Código Ético Iberoamericano para el Uso de Inteligencia Artificial en el Ámbito</w:t>
      </w:r>
      <w:r>
        <w:t xml:space="preserve"> </w:t>
      </w:r>
      <w:r>
        <w:t xml:space="preserve">Judicial (mayo de 2026):</w:t>
      </w:r>
      <w:r>
        <w:t xml:space="preserve"> </w:t>
      </w:r>
      <w:hyperlink r:id="rId38">
        <w:r>
          <w:rPr>
            <w:rStyle w:val="Hyperlink"/>
          </w:rPr>
          <w:t xml:space="preserve">https://www.cumbrejudicial.org/sites/default/files/2026-05/C%C3%B3digo%20%C3%89tico%20Iberoamericano%20para%20el%20Uso%20de%20Inteligencia%20Artificial%20en%20el%20%C3%81mbito%20Judicial%20ES.pdf</w:t>
        </w:r>
      </w:hyperlink>
    </w:p>
    <w:p>
      <w:pPr>
        <w:pStyle w:val="Compact"/>
        <w:numPr>
          <w:ilvl w:val="0"/>
          <w:numId w:val="1020"/>
        </w:numPr>
      </w:pPr>
      <w:r>
        <w:t xml:space="preserve">CEPEJ (Consejo de Europa), Guidelines on the Use of Generative AI for Courts, documento CEPEJ(2025)18Final</w:t>
      </w:r>
      <w:r>
        <w:t xml:space="preserve"> </w:t>
      </w:r>
      <w:r>
        <w:t xml:space="preserve">(diciembre de 2025).</w:t>
      </w:r>
    </w:p>
    <w:p>
      <w:pPr>
        <w:pStyle w:val="Compact"/>
        <w:numPr>
          <w:ilvl w:val="0"/>
          <w:numId w:val="1020"/>
        </w:numPr>
      </w:pPr>
      <w:r>
        <w:t xml:space="preserve">CEJA, «Inteligencia Artificial en los Poderes Judiciales: Reflexiones y Lineamientos para las Américas» (diciembre</w:t>
      </w:r>
      <w:r>
        <w:t xml:space="preserve"> </w:t>
      </w:r>
      <w:r>
        <w:t xml:space="preserve">de 2025):</w:t>
      </w:r>
      <w:r>
        <w:t xml:space="preserve"> </w:t>
      </w:r>
      <w:hyperlink r:id="rId39">
        <w:r>
          <w:rPr>
            <w:rStyle w:val="Hyperlink"/>
          </w:rPr>
          <w:t xml:space="preserve">https://cejamericas.org/wp-content/uploads/2025/12/Inteligencia-Artificial-en-los-Poderes-Judiciales-de-las-Americas_.pdf</w:t>
        </w:r>
      </w:hyperlink>
    </w:p>
    <w:p>
      <w:pPr>
        <w:pStyle w:val="Compact"/>
        <w:numPr>
          <w:ilvl w:val="0"/>
          <w:numId w:val="1020"/>
        </w:numPr>
      </w:pPr>
      <w:r>
        <w:t xml:space="preserve">Protocolos de IA: Jujuy (Acordada 31/2025), Ciudad de Buenos Aires (Resolución CM 255/2025) y Río Negro (Acordada</w:t>
      </w:r>
      <w:r>
        <w:t xml:space="preserve"> </w:t>
      </w:r>
      <w:r>
        <w:t xml:space="preserve">15/2024).</w:t>
      </w:r>
    </w:p>
    <w:p>
      <w:pPr>
        <w:pStyle w:val="Compact"/>
        <w:numPr>
          <w:ilvl w:val="0"/>
          <w:numId w:val="1020"/>
        </w:numPr>
      </w:pPr>
      <w:r>
        <w:t xml:space="preserve">Reino Unido, Cabinet Office, «Test, Learn and Grow Playbook» (octubre de 2026):</w:t>
      </w:r>
      <w:r>
        <w:t xml:space="preserve"> </w:t>
      </w:r>
      <w:hyperlink r:id="rId40">
        <w:r>
          <w:rPr>
            <w:rStyle w:val="Hyperlink"/>
          </w:rPr>
          <w:t xml:space="preserve">https://www.gov.uk/guidance/test-and-learn-playbook</w:t>
        </w:r>
      </w:hyperlink>
    </w:p>
    <w:p>
      <w:pPr>
        <w:pStyle w:val="Compact"/>
        <w:numPr>
          <w:ilvl w:val="0"/>
          <w:numId w:val="1020"/>
        </w:numPr>
      </w:pPr>
      <w:r>
        <w:t xml:space="preserve">Laboratorio de Innovación Judicial de Mendoza (Acordada 31420):</w:t>
      </w:r>
      <w:r>
        <w:t xml:space="preserve"> </w:t>
      </w:r>
      <w:hyperlink r:id="rId41">
        <w:r>
          <w:rPr>
            <w:rStyle w:val="Hyperlink"/>
          </w:rPr>
          <w:t xml:space="preserve">https://jusmendoza.gob.ar/laboratorio-de-innovacion-judicial/</w:t>
        </w:r>
      </w:hyperlink>
    </w:p>
    <w:p>
      <w:pPr>
        <w:pStyle w:val="Compact"/>
        <w:numPr>
          <w:ilvl w:val="0"/>
          <w:numId w:val="1020"/>
        </w:numPr>
      </w:pPr>
      <w:r>
        <w:t xml:space="preserve">Encuentro de Laboratorios de Innovación, 15 y 16 de octubre de 2026: Kit de Convocatoria, Guía Práctica de</w:t>
      </w:r>
      <w:r>
        <w:t xml:space="preserve"> </w:t>
      </w:r>
      <w:r>
        <w:t xml:space="preserve">Innovación v0.95 y hoja de ruta de 45 días.</w:t>
      </w:r>
    </w:p>
    <w:p>
      <w:pPr>
        <w:pStyle w:val="Compact"/>
        <w:numPr>
          <w:ilvl w:val="0"/>
          <w:numId w:val="1020"/>
        </w:numPr>
      </w:pPr>
      <w:r>
        <w:t xml:space="preserve">«Vínculos»: Primer Plano Online (8 de julio de 2026) y En Línea Noticias (9 de julio de 2026).</w:t>
      </w:r>
    </w:p>
    <w:bookmarkEnd w:id="42"/>
    <w:bookmarkStart w:id="58" w:name="material-del-encuentro"/>
    <w:p>
      <w:pPr>
        <w:pStyle w:val="Heading1"/>
      </w:pPr>
      <w:r>
        <w:t xml:space="preserve">Material del encuentro</w:t>
      </w:r>
    </w:p>
    <w:p>
      <w:pPr>
        <w:pStyle w:val="FirstParagraph"/>
      </w:pPr>
      <w:r>
        <w:t xml:space="preserve">Todo el material está en</w:t>
      </w:r>
      <w:r>
        <w:t xml:space="preserve"> </w:t>
      </w:r>
      <w:hyperlink r:id="rId43">
        <w:r>
          <w:rPr>
            <w:rStyle w:val="Hyperlink"/>
          </w:rPr>
          <w:t xml:space="preserve">https://newlab.jurismdz.cloud/encuentro/documentacion/</w:t>
        </w:r>
      </w:hyperlink>
      <w:r>
        <w:t xml:space="preserve"> </w:t>
      </w:r>
      <w:r>
        <w:t xml:space="preserve">(ZIP con 23 archivos, ordenados por</w:t>
      </w:r>
      <w:r>
        <w:t xml:space="preserve"> </w:t>
      </w:r>
      <w:r>
        <w:t xml:space="preserve">paso). Enlaces directos:</w:t>
      </w:r>
    </w:p>
    <w:p>
      <w:pPr>
        <w:pStyle w:val="Compact"/>
        <w:numPr>
          <w:ilvl w:val="0"/>
          <w:numId w:val="1021"/>
        </w:numPr>
      </w:pPr>
      <w:r>
        <w:t xml:space="preserve">Autodiagnóstico y hoja de ruta de 45 días:</w:t>
      </w:r>
      <w:r>
        <w:t xml:space="preserve"> </w:t>
      </w:r>
      <w:hyperlink r:id="rId44">
        <w:r>
          <w:rPr>
            <w:rStyle w:val="Hyperlink"/>
          </w:rPr>
          <w:t xml:space="preserve">https://newlab.jurismdz.cloud/encuentro/entregables/imprimibles/pdf/autodiagnostico-hoja-de-ruta.pdf</w:t>
        </w:r>
      </w:hyperlink>
    </w:p>
    <w:p>
      <w:pPr>
        <w:pStyle w:val="Compact"/>
        <w:numPr>
          <w:ilvl w:val="0"/>
          <w:numId w:val="1021"/>
        </w:numPr>
      </w:pPr>
      <w:r>
        <w:t xml:space="preserve">Kit de Convocatoria v0.95:</w:t>
      </w:r>
      <w:r>
        <w:t xml:space="preserve"> </w:t>
      </w:r>
      <w:hyperlink r:id="rId45">
        <w:r>
          <w:rPr>
            <w:rStyle w:val="Hyperlink"/>
          </w:rPr>
          <w:t xml:space="preserve">https://newlab.jurismdz.cloud/encuentro/entregables/kit-convocatoria/kit-convocatoria-v0.95.docx</w:t>
        </w:r>
      </w:hyperlink>
    </w:p>
    <w:p>
      <w:pPr>
        <w:pStyle w:val="Compact"/>
        <w:numPr>
          <w:ilvl w:val="0"/>
          <w:numId w:val="1021"/>
        </w:numPr>
      </w:pPr>
      <w:r>
        <w:t xml:space="preserve">Lienzo de las 12 decisiones:</w:t>
      </w:r>
      <w:r>
        <w:t xml:space="preserve"> </w:t>
      </w:r>
      <w:hyperlink r:id="rId46">
        <w:r>
          <w:rPr>
            <w:rStyle w:val="Hyperlink"/>
          </w:rPr>
          <w:t xml:space="preserve">https://newlab.jurismdz.cloud/encuentro/entregables/imprimibles/pdf/lienzo-convocatoria.pdf</w:t>
        </w:r>
      </w:hyperlink>
    </w:p>
    <w:p>
      <w:pPr>
        <w:pStyle w:val="Compact"/>
        <w:numPr>
          <w:ilvl w:val="0"/>
          <w:numId w:val="1021"/>
        </w:numPr>
      </w:pPr>
      <w:r>
        <w:t xml:space="preserve">Tarjeta de decisión elevada:</w:t>
      </w:r>
      <w:r>
        <w:t xml:space="preserve"> </w:t>
      </w:r>
      <w:hyperlink r:id="rId47">
        <w:r>
          <w:rPr>
            <w:rStyle w:val="Hyperlink"/>
          </w:rPr>
          <w:t xml:space="preserve">https://newlab.jurismdz.cloud/encuentro/entregables/imprimibles/pdf/tarjeta-decision.pdf</w:t>
        </w:r>
      </w:hyperlink>
    </w:p>
    <w:p>
      <w:pPr>
        <w:pStyle w:val="Compact"/>
        <w:numPr>
          <w:ilvl w:val="0"/>
          <w:numId w:val="1021"/>
        </w:numPr>
      </w:pPr>
      <w:r>
        <w:t xml:space="preserve">Modelo de bases:</w:t>
      </w:r>
      <w:r>
        <w:t xml:space="preserve"> </w:t>
      </w:r>
      <w:hyperlink r:id="rId48">
        <w:r>
          <w:rPr>
            <w:rStyle w:val="Hyperlink"/>
          </w:rPr>
          <w:t xml:space="preserve">https://newlab.jurismdz.cloud/encuentro/entregables/imprimibles/pdf/bases-convocatoria.pdf</w:t>
        </w:r>
      </w:hyperlink>
    </w:p>
    <w:p>
      <w:pPr>
        <w:pStyle w:val="Compact"/>
        <w:numPr>
          <w:ilvl w:val="0"/>
          <w:numId w:val="1021"/>
        </w:numPr>
      </w:pPr>
      <w:r>
        <w:t xml:space="preserve">Guía rápida para postular:</w:t>
      </w:r>
      <w:r>
        <w:t xml:space="preserve"> </w:t>
      </w:r>
      <w:hyperlink r:id="rId49">
        <w:r>
          <w:rPr>
            <w:rStyle w:val="Hyperlink"/>
          </w:rPr>
          <w:t xml:space="preserve">https://newlab.jurismdz.cloud/encuentro/entregables/imprimibles/pdf/guia-rapida.pdf</w:t>
        </w:r>
      </w:hyperlink>
    </w:p>
    <w:p>
      <w:pPr>
        <w:pStyle w:val="Compact"/>
        <w:numPr>
          <w:ilvl w:val="0"/>
          <w:numId w:val="1021"/>
        </w:numPr>
      </w:pPr>
      <w:r>
        <w:t xml:space="preserve">Comunicado del futuro:</w:t>
      </w:r>
      <w:r>
        <w:t xml:space="preserve"> </w:t>
      </w:r>
      <w:hyperlink r:id="rId50">
        <w:r>
          <w:rPr>
            <w:rStyle w:val="Hyperlink"/>
          </w:rPr>
          <w:t xml:space="preserve">https://newlab.jurismdz.cloud/encuentro/entregables/imprimibles/pdf/comunicado-del-futuro.pdf</w:t>
        </w:r>
      </w:hyperlink>
    </w:p>
    <w:p>
      <w:pPr>
        <w:pStyle w:val="Compact"/>
        <w:numPr>
          <w:ilvl w:val="0"/>
          <w:numId w:val="1021"/>
        </w:numPr>
      </w:pPr>
      <w:r>
        <w:t xml:space="preserve">Guía Práctica de Innovación v0.95:</w:t>
      </w:r>
      <w:r>
        <w:t xml:space="preserve"> </w:t>
      </w:r>
      <w:hyperlink r:id="rId51">
        <w:r>
          <w:rPr>
            <w:rStyle w:val="Hyperlink"/>
          </w:rPr>
          <w:t xml:space="preserve">https://newlab.jurismdz.cloud/encuentro/entregables/guia/guia-v0.95.docx</w:t>
        </w:r>
      </w:hyperlink>
    </w:p>
    <w:p>
      <w:pPr>
        <w:pStyle w:val="Compact"/>
        <w:numPr>
          <w:ilvl w:val="0"/>
          <w:numId w:val="1021"/>
        </w:numPr>
      </w:pPr>
      <w:r>
        <w:t xml:space="preserve">Los 7 pasos (A3):</w:t>
      </w:r>
      <w:r>
        <w:t xml:space="preserve"> </w:t>
      </w:r>
      <w:hyperlink r:id="rId52">
        <w:r>
          <w:rPr>
            <w:rStyle w:val="Hyperlink"/>
          </w:rPr>
          <w:t xml:space="preserve">https://newlab.jurismdz.cloud/encuentro/entregables/imprimibles/pdf/base-7-pasos.pdf</w:t>
        </w:r>
      </w:hyperlink>
    </w:p>
    <w:p>
      <w:pPr>
        <w:pStyle w:val="Compact"/>
        <w:numPr>
          <w:ilvl w:val="0"/>
          <w:numId w:val="1021"/>
        </w:numPr>
      </w:pPr>
      <w:r>
        <w:t xml:space="preserve">Lienzo del problema:</w:t>
      </w:r>
      <w:r>
        <w:t xml:space="preserve"> </w:t>
      </w:r>
      <w:hyperlink r:id="rId53">
        <w:r>
          <w:rPr>
            <w:rStyle w:val="Hyperlink"/>
          </w:rPr>
          <w:t xml:space="preserve">https://newlab.jurismdz.cloud/encuentro/entregables/imprimibles/pdf/lienzo-problema.pdf</w:t>
        </w:r>
      </w:hyperlink>
    </w:p>
    <w:p>
      <w:pPr>
        <w:pStyle w:val="Compact"/>
        <w:numPr>
          <w:ilvl w:val="0"/>
          <w:numId w:val="1021"/>
        </w:numPr>
      </w:pPr>
      <w:r>
        <w:t xml:space="preserve">Lienzo del proyecto:</w:t>
      </w:r>
      <w:r>
        <w:t xml:space="preserve"> </w:t>
      </w:r>
      <w:hyperlink r:id="rId54">
        <w:r>
          <w:rPr>
            <w:rStyle w:val="Hyperlink"/>
          </w:rPr>
          <w:t xml:space="preserve">https://newlab.jurismdz.cloud/encuentro/entregables/imprimibles/pdf/lienzo-proyecto.pdf</w:t>
        </w:r>
      </w:hyperlink>
    </w:p>
    <w:p>
      <w:pPr>
        <w:pStyle w:val="Compact"/>
        <w:numPr>
          <w:ilvl w:val="0"/>
          <w:numId w:val="1021"/>
        </w:numPr>
      </w:pPr>
      <w:r>
        <w:t xml:space="preserve">Lienzo de caso de uso de IA:</w:t>
      </w:r>
      <w:r>
        <w:t xml:space="preserve"> </w:t>
      </w:r>
      <w:hyperlink r:id="rId55">
        <w:r>
          <w:rPr>
            <w:rStyle w:val="Hyperlink"/>
          </w:rPr>
          <w:t xml:space="preserve">https://newlab.jurismdz.cloud/encuentro/entregables/imprimibles/pdf/lienzo-ia.pdf</w:t>
        </w:r>
      </w:hyperlink>
    </w:p>
    <w:p>
      <w:pPr>
        <w:pStyle w:val="Compact"/>
        <w:numPr>
          <w:ilvl w:val="0"/>
          <w:numId w:val="1021"/>
        </w:numPr>
      </w:pPr>
      <w:r>
        <w:t xml:space="preserve">Árbol de oportunidades y supuestos:</w:t>
      </w:r>
      <w:r>
        <w:t xml:space="preserve"> </w:t>
      </w:r>
      <w:hyperlink r:id="rId56">
        <w:r>
          <w:rPr>
            <w:rStyle w:val="Hyperlink"/>
          </w:rPr>
          <w:t xml:space="preserve">https://newlab.jurismdz.cloud/encuentro/entregables/imprimibles/pdf/lienzo-arbol-supuestos.pdf</w:t>
        </w:r>
      </w:hyperlink>
    </w:p>
    <w:p>
      <w:pPr>
        <w:pStyle w:val="Compact"/>
        <w:numPr>
          <w:ilvl w:val="0"/>
          <w:numId w:val="1021"/>
        </w:numPr>
      </w:pPr>
      <w:r>
        <w:t xml:space="preserve">Caja de herramientas de innovación e IA:</w:t>
      </w:r>
      <w:r>
        <w:t xml:space="preserve"> </w:t>
      </w:r>
      <w:hyperlink r:id="rId57">
        <w:r>
          <w:rPr>
            <w:rStyle w:val="Hyperlink"/>
          </w:rPr>
          <w:t xml:space="preserve">https://newlab.jurismdz.cloud/encuentro/entregables/caja-herramientas/caja-herramientas-innovacion-ia.docx</w:t>
        </w:r>
      </w:hyperlink>
    </w:p>
    <w:bookmarkEnd w:id="58"/>
    <w:sectPr>
      <w:headerReference w:type="default" r:id="rId9"/>
      <w:footerReference w:type="default" r:id="rId10"/>
      <w:footnotePr>
        <w:numRestart w:val="eachSect"/>
      </w:footnotePr>
      <w:pgMar w:header="45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/>
    <w:r>
      <w:rPr>
        <w:color w:val="6B7A96"/>
        <w:sz w:val="16"/>
      </w:rPr>
      <w:t>JusLab · Encuentro de Laboratorios de Innovación · 15 y 16 de octubre de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drawing>
        <wp:inline xmlns:a="http://schemas.openxmlformats.org/drawingml/2006/main" xmlns:pic="http://schemas.openxmlformats.org/drawingml/2006/picture">
          <wp:extent cx="832202" cy="54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usla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2202" cy="540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s-A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34" Type="http://schemas.openxmlformats.org/officeDocument/2006/relationships/hyperlink" Target="https://atos.cnj.jus.br/atos/detalhar/3973" TargetMode="External"/><Relationship Id="rId35" Type="http://schemas.openxmlformats.org/officeDocument/2006/relationships/hyperlink" Target="https://atos.cnj.jus.br/atos/detalhar/5853" TargetMode="External"/><Relationship Id="rId39" Type="http://schemas.openxmlformats.org/officeDocument/2006/relationships/hyperlink" Target="https://cejamericas.org/wp-content/uploads/2025/12/Inteligencia-Artificial-en-los-Poderes-Judiciales-de-las-Americas_.pdf" TargetMode="External"/><Relationship Id="rId41" Type="http://schemas.openxmlformats.org/officeDocument/2006/relationships/hyperlink" Target="https://jusmendoza.gob.ar/laboratorio-de-innovacion-judicial/" TargetMode="External"/><Relationship Id="rId43" Type="http://schemas.openxmlformats.org/officeDocument/2006/relationships/hyperlink" Target="https://newlab.jurismdz.cloud/encuentro/documentacion/" TargetMode="External"/><Relationship Id="rId57" Type="http://schemas.openxmlformats.org/officeDocument/2006/relationships/hyperlink" Target="https://newlab.jurismdz.cloud/encuentro/entregables/caja-herramientas/caja-herramientas-innovacion-ia.docx" TargetMode="External"/><Relationship Id="rId51" Type="http://schemas.openxmlformats.org/officeDocument/2006/relationships/hyperlink" Target="https://newlab.jurismdz.cloud/encuentro/entregables/guia/guia-v0.95.docx" TargetMode="External"/><Relationship Id="rId44" Type="http://schemas.openxmlformats.org/officeDocument/2006/relationships/hyperlink" Target="https://newlab.jurismdz.cloud/encuentro/entregables/imprimibles/pdf/autodiagnostico-hoja-de-ruta.pdf" TargetMode="External"/><Relationship Id="rId52" Type="http://schemas.openxmlformats.org/officeDocument/2006/relationships/hyperlink" Target="https://newlab.jurismdz.cloud/encuentro/entregables/imprimibles/pdf/base-7-pasos.pdf" TargetMode="External"/><Relationship Id="rId48" Type="http://schemas.openxmlformats.org/officeDocument/2006/relationships/hyperlink" Target="https://newlab.jurismdz.cloud/encuentro/entregables/imprimibles/pdf/bases-convocatoria.pdf" TargetMode="External"/><Relationship Id="rId50" Type="http://schemas.openxmlformats.org/officeDocument/2006/relationships/hyperlink" Target="https://newlab.jurismdz.cloud/encuentro/entregables/imprimibles/pdf/comunicado-del-futuro.pdf" TargetMode="External"/><Relationship Id="rId49" Type="http://schemas.openxmlformats.org/officeDocument/2006/relationships/hyperlink" Target="https://newlab.jurismdz.cloud/encuentro/entregables/imprimibles/pdf/guia-rapida.pdf" TargetMode="External"/><Relationship Id="rId56" Type="http://schemas.openxmlformats.org/officeDocument/2006/relationships/hyperlink" Target="https://newlab.jurismdz.cloud/encuentro/entregables/imprimibles/pdf/lienzo-arbol-supuestos.pdf" TargetMode="External"/><Relationship Id="rId46" Type="http://schemas.openxmlformats.org/officeDocument/2006/relationships/hyperlink" Target="https://newlab.jurismdz.cloud/encuentro/entregables/imprimibles/pdf/lienzo-convocatoria.pdf" TargetMode="External"/><Relationship Id="rId55" Type="http://schemas.openxmlformats.org/officeDocument/2006/relationships/hyperlink" Target="https://newlab.jurismdz.cloud/encuentro/entregables/imprimibles/pdf/lienzo-ia.pdf" TargetMode="External"/><Relationship Id="rId53" Type="http://schemas.openxmlformats.org/officeDocument/2006/relationships/hyperlink" Target="https://newlab.jurismdz.cloud/encuentro/entregables/imprimibles/pdf/lienzo-problema.pdf" TargetMode="External"/><Relationship Id="rId54" Type="http://schemas.openxmlformats.org/officeDocument/2006/relationships/hyperlink" Target="https://newlab.jurismdz.cloud/encuentro/entregables/imprimibles/pdf/lienzo-proyecto.pdf" TargetMode="External"/><Relationship Id="rId47" Type="http://schemas.openxmlformats.org/officeDocument/2006/relationships/hyperlink" Target="https://newlab.jurismdz.cloud/encuentro/entregables/imprimibles/pdf/tarjeta-decision.pdf" TargetMode="External"/><Relationship Id="rId45" Type="http://schemas.openxmlformats.org/officeDocument/2006/relationships/hyperlink" Target="https://newlab.jurismdz.cloud/encuentro/entregables/kit-convocatoria/kit-convocatoria-v0.95.docx" TargetMode="External"/><Relationship Id="rId32" Type="http://schemas.openxmlformats.org/officeDocument/2006/relationships/hyperlink" Target="https://oecd-opsi.org/pet/" TargetMode="External"/><Relationship Id="rId33" Type="http://schemas.openxmlformats.org/officeDocument/2006/relationships/hyperlink" Target="https://oecd-opsi.org/publications/core-skills/" TargetMode="External"/><Relationship Id="rId31" Type="http://schemas.openxmlformats.org/officeDocument/2006/relationships/hyperlink" Target="https://oecd-opsi.org/work-areas/declaration/" TargetMode="External"/><Relationship Id="rId36" Type="http://schemas.openxmlformats.org/officeDocument/2006/relationships/hyperlink" Target="https://www.cnj.jus.br/relatorios-analisam-panorama-da-inovacao-na-justica-brasileira/" TargetMode="External"/><Relationship Id="rId38" Type="http://schemas.openxmlformats.org/officeDocument/2006/relationships/hyperlink" Target="https://www.cumbrejudicial.org/sites/default/files/2026-05/C%C3%B3digo%20%C3%89tico%20Iberoamericano%20para%20el%20Uso%20de%20Inteligencia%20Artificial%20en%20el%20%C3%81mbito%20Judicial%20ES.pdf" TargetMode="External"/><Relationship Id="rId40" Type="http://schemas.openxmlformats.org/officeDocument/2006/relationships/hyperlink" Target="https://www.gov.uk/guidance/test-and-learn-playbook" TargetMode="External"/><Relationship Id="rId29" Type="http://schemas.openxmlformats.org/officeDocument/2006/relationships/hyperlink" Target="https://www.oecd.org/content/dam/oecd/en/publications/reports/2025/11/toolkit-for-access-to-justice-and-people-centred-justice-systems_b1dd9b25/aecf7f78-en.pdf" TargetMode="External"/><Relationship Id="rId30" Type="http://schemas.openxmlformats.org/officeDocument/2006/relationships/hyperlink" Target="https://www.oecd.org/content/dam/oecd/en/publications/reports/2026/06/towards-a-measurement-framework-for-people-centred-justice-systems_b1446e3b/f4c9dccb-en.pdf" TargetMode="External"/><Relationship Id="rId37" Type="http://schemas.openxmlformats.org/officeDocument/2006/relationships/hyperlink" Target="https://www.unesco.org/en/articles/ai-courtroom-unescos-new-guidelines-judiciary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4" Type="http://schemas.openxmlformats.org/officeDocument/2006/relationships/hyperlink" Target="https://atos.cnj.jus.br/atos/detalhar/3973" TargetMode="External"/><Relationship Id="rId35" Type="http://schemas.openxmlformats.org/officeDocument/2006/relationships/hyperlink" Target="https://atos.cnj.jus.br/atos/detalhar/5853" TargetMode="External"/><Relationship Id="rId39" Type="http://schemas.openxmlformats.org/officeDocument/2006/relationships/hyperlink" Target="https://cejamericas.org/wp-content/uploads/2025/12/Inteligencia-Artificial-en-los-Poderes-Judiciales-de-las-Americas_.pdf" TargetMode="External"/><Relationship Id="rId41" Type="http://schemas.openxmlformats.org/officeDocument/2006/relationships/hyperlink" Target="https://jusmendoza.gob.ar/laboratorio-de-innovacion-judicial/" TargetMode="External"/><Relationship Id="rId43" Type="http://schemas.openxmlformats.org/officeDocument/2006/relationships/hyperlink" Target="https://newlab.jurismdz.cloud/encuentro/documentacion/" TargetMode="External"/><Relationship Id="rId57" Type="http://schemas.openxmlformats.org/officeDocument/2006/relationships/hyperlink" Target="https://newlab.jurismdz.cloud/encuentro/entregables/caja-herramientas/caja-herramientas-innovacion-ia.docx" TargetMode="External"/><Relationship Id="rId51" Type="http://schemas.openxmlformats.org/officeDocument/2006/relationships/hyperlink" Target="https://newlab.jurismdz.cloud/encuentro/entregables/guia/guia-v0.95.docx" TargetMode="External"/><Relationship Id="rId44" Type="http://schemas.openxmlformats.org/officeDocument/2006/relationships/hyperlink" Target="https://newlab.jurismdz.cloud/encuentro/entregables/imprimibles/pdf/autodiagnostico-hoja-de-ruta.pdf" TargetMode="External"/><Relationship Id="rId52" Type="http://schemas.openxmlformats.org/officeDocument/2006/relationships/hyperlink" Target="https://newlab.jurismdz.cloud/encuentro/entregables/imprimibles/pdf/base-7-pasos.pdf" TargetMode="External"/><Relationship Id="rId48" Type="http://schemas.openxmlformats.org/officeDocument/2006/relationships/hyperlink" Target="https://newlab.jurismdz.cloud/encuentro/entregables/imprimibles/pdf/bases-convocatoria.pdf" TargetMode="External"/><Relationship Id="rId50" Type="http://schemas.openxmlformats.org/officeDocument/2006/relationships/hyperlink" Target="https://newlab.jurismdz.cloud/encuentro/entregables/imprimibles/pdf/comunicado-del-futuro.pdf" TargetMode="External"/><Relationship Id="rId49" Type="http://schemas.openxmlformats.org/officeDocument/2006/relationships/hyperlink" Target="https://newlab.jurismdz.cloud/encuentro/entregables/imprimibles/pdf/guia-rapida.pdf" TargetMode="External"/><Relationship Id="rId56" Type="http://schemas.openxmlformats.org/officeDocument/2006/relationships/hyperlink" Target="https://newlab.jurismdz.cloud/encuentro/entregables/imprimibles/pdf/lienzo-arbol-supuestos.pdf" TargetMode="External"/><Relationship Id="rId46" Type="http://schemas.openxmlformats.org/officeDocument/2006/relationships/hyperlink" Target="https://newlab.jurismdz.cloud/encuentro/entregables/imprimibles/pdf/lienzo-convocatoria.pdf" TargetMode="External"/><Relationship Id="rId55" Type="http://schemas.openxmlformats.org/officeDocument/2006/relationships/hyperlink" Target="https://newlab.jurismdz.cloud/encuentro/entregables/imprimibles/pdf/lienzo-ia.pdf" TargetMode="External"/><Relationship Id="rId53" Type="http://schemas.openxmlformats.org/officeDocument/2006/relationships/hyperlink" Target="https://newlab.jurismdz.cloud/encuentro/entregables/imprimibles/pdf/lienzo-problema.pdf" TargetMode="External"/><Relationship Id="rId54" Type="http://schemas.openxmlformats.org/officeDocument/2006/relationships/hyperlink" Target="https://newlab.jurismdz.cloud/encuentro/entregables/imprimibles/pdf/lienzo-proyecto.pdf" TargetMode="External"/><Relationship Id="rId47" Type="http://schemas.openxmlformats.org/officeDocument/2006/relationships/hyperlink" Target="https://newlab.jurismdz.cloud/encuentro/entregables/imprimibles/pdf/tarjeta-decision.pdf" TargetMode="External"/><Relationship Id="rId45" Type="http://schemas.openxmlformats.org/officeDocument/2006/relationships/hyperlink" Target="https://newlab.jurismdz.cloud/encuentro/entregables/kit-convocatoria/kit-convocatoria-v0.95.docx" TargetMode="External"/><Relationship Id="rId32" Type="http://schemas.openxmlformats.org/officeDocument/2006/relationships/hyperlink" Target="https://oecd-opsi.org/pet/" TargetMode="External"/><Relationship Id="rId33" Type="http://schemas.openxmlformats.org/officeDocument/2006/relationships/hyperlink" Target="https://oecd-opsi.org/publications/core-skills/" TargetMode="External"/><Relationship Id="rId31" Type="http://schemas.openxmlformats.org/officeDocument/2006/relationships/hyperlink" Target="https://oecd-opsi.org/work-areas/declaration/" TargetMode="External"/><Relationship Id="rId36" Type="http://schemas.openxmlformats.org/officeDocument/2006/relationships/hyperlink" Target="https://www.cnj.jus.br/relatorios-analisam-panorama-da-inovacao-na-justica-brasileira/" TargetMode="External"/><Relationship Id="rId38" Type="http://schemas.openxmlformats.org/officeDocument/2006/relationships/hyperlink" Target="https://www.cumbrejudicial.org/sites/default/files/2026-05/C%C3%B3digo%20%C3%89tico%20Iberoamericano%20para%20el%20Uso%20de%20Inteligencia%20Artificial%20en%20el%20%C3%81mbito%20Judicial%20ES.pdf" TargetMode="External"/><Relationship Id="rId40" Type="http://schemas.openxmlformats.org/officeDocument/2006/relationships/hyperlink" Target="https://www.gov.uk/guidance/test-and-learn-playbook" TargetMode="External"/><Relationship Id="rId29" Type="http://schemas.openxmlformats.org/officeDocument/2006/relationships/hyperlink" Target="https://www.oecd.org/content/dam/oecd/en/publications/reports/2025/11/toolkit-for-access-to-justice-and-people-centred-justice-systems_b1dd9b25/aecf7f78-en.pdf" TargetMode="External"/><Relationship Id="rId30" Type="http://schemas.openxmlformats.org/officeDocument/2006/relationships/hyperlink" Target="https://www.oecd.org/content/dam/oecd/en/publications/reports/2026/06/towards-a-measurement-framework-for-people-centred-justice-systems_b1446e3b/f4c9dccb-en.pdf" TargetMode="External"/><Relationship Id="rId37" Type="http://schemas.openxmlformats.org/officeDocument/2006/relationships/hyperlink" Target="https://www.unesco.org/en/articles/ai-courtroom-unescos-new-guidelines-judiciary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para constituir el Laboratorio</dc:title>
  <dc:creator/>
  <dc:language>es-AR</dc:language>
  <cp:keywords/>
  <dcterms:created xsi:type="dcterms:W3CDTF">2026-10-19T18:38:37Z</dcterms:created>
  <dcterms:modified xsi:type="dcterms:W3CDTF">2026-10-19T18:38:37Z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Red de Laboratorios de Innovación judicial · versión 1.1 · octubre de 2026</vt:lpwstr>
  </property>
</Properties>
</file>